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4C" w:rsidRPr="00A3704C" w:rsidRDefault="00C6153E" w:rsidP="00A3704C">
      <w:pPr>
        <w:autoSpaceDE w:val="0"/>
        <w:jc w:val="center"/>
        <w:rPr>
          <w:rFonts w:ascii="ABCDEE+Arial Gras" w:eastAsia="ABCDEE+Arial Gras" w:hAnsi="ABCDEE+Arial Gras" w:cs="ABCDEE+Arial Gras"/>
          <w:b/>
          <w:color w:val="AED3D4"/>
          <w:sz w:val="36"/>
          <w:szCs w:val="36"/>
        </w:rPr>
      </w:pPr>
      <w:r>
        <w:rPr>
          <w:rFonts w:ascii="ABCDEE+Arial Gras" w:eastAsia="ABCDEE+Arial Gras" w:hAnsi="ABCDEE+Arial Gras" w:cs="ABCDEE+Arial Gras"/>
          <w:b/>
          <w:color w:val="AED3D4"/>
          <w:sz w:val="36"/>
          <w:szCs w:val="36"/>
        </w:rPr>
        <w:t xml:space="preserve"> </w:t>
      </w:r>
      <w:bookmarkStart w:id="0" w:name="_GoBack"/>
      <w:bookmarkEnd w:id="0"/>
      <w:r w:rsidR="00A3704C" w:rsidRPr="00A3704C">
        <w:rPr>
          <w:rFonts w:ascii="ABCDEE+Arial Gras" w:eastAsia="ABCDEE+Arial Gras" w:hAnsi="ABCDEE+Arial Gras" w:cs="ABCDEE+Arial Gras"/>
          <w:b/>
          <w:color w:val="AED3D4"/>
          <w:sz w:val="36"/>
          <w:szCs w:val="36"/>
        </w:rPr>
        <w:t>DETAILS DES CALCULS</w:t>
      </w:r>
    </w:p>
    <w:p w:rsidR="00A3704C" w:rsidRDefault="00A3704C" w:rsidP="00A3704C">
      <w:pPr>
        <w:autoSpaceDE w:val="0"/>
        <w:rPr>
          <w:rFonts w:ascii="ABCDEE+Arial Gras" w:eastAsia="ABCDEE+Arial Gras" w:hAnsi="ABCDEE+Arial Gras" w:cs="ABCDEE+Arial Gras"/>
          <w:color w:val="AED3D4"/>
          <w:sz w:val="36"/>
          <w:szCs w:val="36"/>
        </w:rPr>
      </w:pPr>
    </w:p>
    <w:p w:rsidR="00A3704C" w:rsidRPr="00C34937" w:rsidRDefault="00A3704C" w:rsidP="00A3704C">
      <w:pPr>
        <w:autoSpaceDE w:val="0"/>
        <w:rPr>
          <w:rFonts w:ascii="Arial" w:eastAsia="Arial" w:hAnsi="Arial" w:cs="Arial"/>
          <w:color w:val="1F4E79" w:themeColor="accent1" w:themeShade="80"/>
          <w:sz w:val="32"/>
          <w:szCs w:val="32"/>
        </w:rPr>
      </w:pPr>
      <w:r w:rsidRPr="00C34937">
        <w:rPr>
          <w:rFonts w:ascii="Arial" w:eastAsia="Arial" w:hAnsi="Arial" w:cs="Arial"/>
          <w:color w:val="1F4E79" w:themeColor="accent1" w:themeShade="80"/>
          <w:sz w:val="32"/>
          <w:szCs w:val="32"/>
        </w:rPr>
        <w:t>1. DECRIPTION DU CALCUL</w:t>
      </w:r>
    </w:p>
    <w:p w:rsidR="00A3704C" w:rsidRDefault="00A3704C" w:rsidP="00A3704C">
      <w:pPr>
        <w:autoSpaceDE w:val="0"/>
        <w:rPr>
          <w:rFonts w:ascii="Arial" w:eastAsia="Arial" w:hAnsi="Arial" w:cs="Arial"/>
          <w:color w:val="000000"/>
          <w:sz w:val="22"/>
          <w:szCs w:val="22"/>
        </w:rPr>
      </w:pPr>
    </w:p>
    <w:p w:rsidR="00A3704C" w:rsidRPr="00A3704C" w:rsidRDefault="00A3704C" w:rsidP="00A3704C">
      <w:pPr>
        <w:autoSpaceDE w:val="0"/>
        <w:rPr>
          <w:rFonts w:asciiTheme="minorHAnsi" w:eastAsia="ABCDEE+Arial Gras" w:hAnsiTheme="minorHAnsi" w:cs="ABCDEE+Arial Gras"/>
          <w:color w:val="000000"/>
          <w:sz w:val="22"/>
          <w:szCs w:val="22"/>
        </w:rPr>
      </w:pPr>
      <w:r w:rsidRPr="00A3704C">
        <w:rPr>
          <w:rFonts w:asciiTheme="minorHAnsi" w:eastAsia="Arial" w:hAnsiTheme="minorHAnsi" w:cs="Arial"/>
          <w:color w:val="000000"/>
          <w:sz w:val="22"/>
          <w:szCs w:val="22"/>
        </w:rPr>
        <w:t>Le montant global des garanties financières (M), tel que défini dans l’annexe I de l’arrêté du 31 mai 2012 est le suivant :</w:t>
      </w:r>
    </w:p>
    <w:p w:rsidR="00A3704C" w:rsidRPr="00A3704C" w:rsidRDefault="00A3704C" w:rsidP="00A3704C">
      <w:pPr>
        <w:autoSpaceDE w:val="0"/>
        <w:rPr>
          <w:rFonts w:asciiTheme="minorHAnsi" w:eastAsia="ABCDEE+Arial Gras" w:hAnsiTheme="minorHAnsi" w:cs="ABCDEE+Arial Gras"/>
          <w:color w:val="000000"/>
          <w:sz w:val="22"/>
          <w:szCs w:val="22"/>
        </w:rPr>
      </w:pPr>
    </w:p>
    <w:p w:rsidR="00A3704C" w:rsidRPr="00A3704C" w:rsidRDefault="00EA07AB" w:rsidP="00A3704C">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b/>
          <w:bCs/>
          <w:color w:val="000000"/>
          <w:sz w:val="32"/>
          <w:szCs w:val="22"/>
        </w:rPr>
      </w:pPr>
      <w:r>
        <w:rPr>
          <w:rFonts w:asciiTheme="minorHAnsi" w:eastAsia="Arial" w:hAnsiTheme="minorHAnsi" w:cs="Arial"/>
          <w:b/>
          <w:bCs/>
          <w:color w:val="000000"/>
          <w:sz w:val="32"/>
          <w:szCs w:val="22"/>
        </w:rPr>
        <w:t xml:space="preserve">M = </w:t>
      </w:r>
      <w:r w:rsidR="00A3704C" w:rsidRPr="00A3704C">
        <w:rPr>
          <w:rFonts w:asciiTheme="minorHAnsi" w:eastAsia="Arial" w:hAnsiTheme="minorHAnsi" w:cs="Arial"/>
          <w:b/>
          <w:bCs/>
          <w:color w:val="000000"/>
          <w:sz w:val="32"/>
          <w:szCs w:val="22"/>
        </w:rPr>
        <w:t>Sc x [</w:t>
      </w:r>
      <w:r>
        <w:rPr>
          <w:rFonts w:asciiTheme="minorHAnsi" w:eastAsia="Arial" w:hAnsiTheme="minorHAnsi" w:cs="Arial"/>
          <w:b/>
          <w:bCs/>
          <w:color w:val="000000"/>
          <w:sz w:val="32"/>
          <w:szCs w:val="22"/>
        </w:rPr>
        <w:t xml:space="preserve">Me + α (Mi + Mc + Ms + Mg)] </w:t>
      </w:r>
    </w:p>
    <w:p w:rsidR="00A3704C" w:rsidRDefault="00A3704C" w:rsidP="00A3704C">
      <w:pPr>
        <w:autoSpaceDE w:val="0"/>
        <w:rPr>
          <w:rFonts w:asciiTheme="minorHAnsi" w:eastAsia="Arial" w:hAnsiTheme="minorHAnsi" w:cs="Arial"/>
          <w:b/>
          <w:bCs/>
          <w:color w:val="000000"/>
          <w:sz w:val="32"/>
          <w:szCs w:val="22"/>
        </w:rPr>
      </w:pPr>
    </w:p>
    <w:p w:rsidR="00A3704C" w:rsidRPr="00A3704C" w:rsidRDefault="00A3704C" w:rsidP="00A3704C">
      <w:pPr>
        <w:autoSpaceDE w:val="0"/>
        <w:rPr>
          <w:rFonts w:asciiTheme="minorHAnsi" w:eastAsia="Arial" w:hAnsiTheme="minorHAnsi" w:cs="Arial"/>
          <w:bCs/>
          <w:color w:val="000000"/>
          <w:szCs w:val="22"/>
          <w:u w:val="single"/>
        </w:rPr>
      </w:pPr>
      <w:r w:rsidRPr="00A3704C">
        <w:rPr>
          <w:rFonts w:asciiTheme="minorHAnsi" w:eastAsia="Arial" w:hAnsiTheme="minorHAnsi" w:cs="Arial"/>
          <w:bCs/>
          <w:color w:val="000000"/>
          <w:szCs w:val="22"/>
          <w:u w:val="single"/>
        </w:rPr>
        <w:t>avec :</w:t>
      </w:r>
    </w:p>
    <w:p w:rsidR="00EA07AB" w:rsidRDefault="00EA07AB" w:rsidP="00EA07AB">
      <w:pPr>
        <w:autoSpaceDE w:val="0"/>
        <w:rPr>
          <w:rFonts w:asciiTheme="minorHAnsi" w:eastAsia="Arial" w:hAnsiTheme="minorHAnsi" w:cs="Arial"/>
          <w:color w:val="000000"/>
          <w:sz w:val="22"/>
          <w:szCs w:val="22"/>
        </w:rPr>
      </w:pPr>
    </w:p>
    <w:p w:rsidR="00EA07AB" w:rsidRPr="00A3704C" w:rsidRDefault="00EA07AB" w:rsidP="00EA07AB">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Sc : Coefficient pondérateur </w:t>
      </w:r>
      <w:r>
        <w:rPr>
          <w:rFonts w:asciiTheme="minorHAnsi" w:eastAsia="Arial" w:hAnsiTheme="minorHAnsi" w:cs="Arial"/>
          <w:color w:val="000000"/>
          <w:sz w:val="22"/>
          <w:szCs w:val="22"/>
        </w:rPr>
        <w:t xml:space="preserve">de prise en compte des </w:t>
      </w:r>
      <w:r w:rsidRPr="00A3704C">
        <w:rPr>
          <w:rFonts w:asciiTheme="minorHAnsi" w:eastAsia="Arial" w:hAnsiTheme="minorHAnsi" w:cs="Arial"/>
          <w:color w:val="000000"/>
          <w:sz w:val="22"/>
          <w:szCs w:val="22"/>
        </w:rPr>
        <w:t>coût</w:t>
      </w:r>
      <w:r>
        <w:rPr>
          <w:rFonts w:asciiTheme="minorHAnsi" w:eastAsia="Arial" w:hAnsiTheme="minorHAnsi" w:cs="Arial"/>
          <w:color w:val="000000"/>
          <w:sz w:val="22"/>
          <w:szCs w:val="22"/>
        </w:rPr>
        <w:t xml:space="preserve">s liés à la gestion du chantier. Ce </w:t>
      </w:r>
      <w:r w:rsidR="001B293A">
        <w:rPr>
          <w:rFonts w:asciiTheme="minorHAnsi" w:eastAsia="Arial" w:hAnsiTheme="minorHAnsi" w:cs="Arial"/>
          <w:color w:val="000000"/>
          <w:sz w:val="22"/>
          <w:szCs w:val="22"/>
        </w:rPr>
        <w:t>coefficient</w:t>
      </w:r>
      <w:r>
        <w:rPr>
          <w:rFonts w:asciiTheme="minorHAnsi" w:eastAsia="Arial" w:hAnsiTheme="minorHAnsi" w:cs="Arial"/>
          <w:color w:val="000000"/>
          <w:sz w:val="22"/>
          <w:szCs w:val="22"/>
        </w:rPr>
        <w:t xml:space="preserve"> est égal à 1,10.</w:t>
      </w:r>
    </w:p>
    <w:p w:rsidR="00A3704C" w:rsidRPr="00A3704C" w:rsidRDefault="00A3704C" w:rsidP="00A3704C">
      <w:pPr>
        <w:autoSpaceDE w:val="0"/>
        <w:rPr>
          <w:rFonts w:asciiTheme="minorHAnsi" w:hAnsiTheme="minorHAnsi"/>
          <w:color w:val="000000"/>
          <w:sz w:val="22"/>
          <w:szCs w:val="22"/>
        </w:rPr>
      </w:pPr>
    </w:p>
    <w:p w:rsidR="00EA07AB"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Me : </w:t>
      </w:r>
      <w:r w:rsidR="00EA07AB">
        <w:rPr>
          <w:rFonts w:asciiTheme="minorHAnsi" w:eastAsia="Arial" w:hAnsiTheme="minorHAnsi" w:cs="Arial"/>
          <w:color w:val="000000"/>
          <w:sz w:val="22"/>
          <w:szCs w:val="22"/>
        </w:rPr>
        <w:t>Montant au moment de la détermination du premier montant de garantie financière, relatif aux mesures de gestion des produits dangereux et des déchets présents sur le site de l’installation.</w:t>
      </w:r>
    </w:p>
    <w:p w:rsidR="00EA07AB" w:rsidRDefault="00A3704C" w:rsidP="00EA07AB">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 </w:t>
      </w:r>
    </w:p>
    <w:p w:rsidR="00EA07AB" w:rsidRPr="00A3704C" w:rsidRDefault="00EA07AB" w:rsidP="00EA07AB">
      <w:pPr>
        <w:autoSpaceDE w:val="0"/>
        <w:rPr>
          <w:rFonts w:asciiTheme="minorHAnsi" w:hAnsiTheme="minorHAnsi"/>
          <w:color w:val="000000"/>
          <w:sz w:val="22"/>
          <w:szCs w:val="22"/>
        </w:rPr>
      </w:pPr>
      <w:r w:rsidRPr="00A3704C">
        <w:rPr>
          <w:rFonts w:asciiTheme="minorHAnsi" w:eastAsia="Arial" w:hAnsiTheme="minorHAnsi" w:cs="Arial"/>
          <w:color w:val="000000"/>
          <w:sz w:val="22"/>
          <w:szCs w:val="22"/>
        </w:rPr>
        <w:t>α : Indice d'actualisation des coûts</w:t>
      </w:r>
    </w:p>
    <w:p w:rsidR="00A3704C" w:rsidRPr="00A3704C" w:rsidRDefault="00A3704C" w:rsidP="00A3704C">
      <w:pPr>
        <w:autoSpaceDE w:val="0"/>
        <w:rPr>
          <w:rFonts w:asciiTheme="minorHAnsi" w:eastAsia="Arial" w:hAnsiTheme="minorHAnsi" w:cs="Arial"/>
          <w:color w:val="000000"/>
          <w:sz w:val="22"/>
          <w:szCs w:val="22"/>
        </w:rPr>
      </w:pPr>
    </w:p>
    <w:p w:rsid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Mi : </w:t>
      </w:r>
      <w:r w:rsidR="00EA07AB">
        <w:rPr>
          <w:rFonts w:asciiTheme="minorHAnsi" w:eastAsia="Arial" w:hAnsiTheme="minorHAnsi" w:cs="Arial"/>
          <w:color w:val="000000"/>
          <w:sz w:val="22"/>
          <w:szCs w:val="22"/>
        </w:rPr>
        <w:t>Montant relatif à la neutralisation des cuves enterrées présentant un risque d’explosion ou d’incendie après vidange.</w:t>
      </w:r>
    </w:p>
    <w:p w:rsidR="00EA07AB" w:rsidRPr="00A3704C" w:rsidRDefault="00EA07AB" w:rsidP="00A3704C">
      <w:pPr>
        <w:autoSpaceDE w:val="0"/>
        <w:rPr>
          <w:rFonts w:asciiTheme="minorHAnsi" w:eastAsia="Arial" w:hAnsiTheme="minorHAnsi" w:cs="Arial"/>
          <w:color w:val="000000"/>
          <w:sz w:val="22"/>
          <w:szCs w:val="22"/>
        </w:rPr>
      </w:pPr>
    </w:p>
    <w:p w:rsid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Mc : </w:t>
      </w:r>
      <w:r w:rsidR="00EA07AB">
        <w:rPr>
          <w:rFonts w:asciiTheme="minorHAnsi" w:eastAsia="Arial" w:hAnsiTheme="minorHAnsi" w:cs="Arial"/>
          <w:color w:val="000000"/>
          <w:sz w:val="22"/>
          <w:szCs w:val="22"/>
        </w:rPr>
        <w:t>Montant relatif à la limitation des accès au site</w:t>
      </w:r>
      <w:r w:rsidRPr="00A3704C">
        <w:rPr>
          <w:rFonts w:asciiTheme="minorHAnsi" w:eastAsia="Arial" w:hAnsiTheme="minorHAnsi" w:cs="Arial"/>
          <w:color w:val="000000"/>
          <w:sz w:val="22"/>
          <w:szCs w:val="22"/>
        </w:rPr>
        <w:t xml:space="preserve"> </w:t>
      </w:r>
    </w:p>
    <w:p w:rsidR="00EA07AB" w:rsidRPr="00A3704C" w:rsidRDefault="00EA07AB" w:rsidP="00A3704C">
      <w:pPr>
        <w:autoSpaceDE w:val="0"/>
        <w:rPr>
          <w:rFonts w:asciiTheme="minorHAnsi" w:eastAsia="Arial" w:hAnsiTheme="minorHAnsi" w:cs="Arial"/>
          <w:color w:val="000000"/>
          <w:sz w:val="22"/>
          <w:szCs w:val="22"/>
        </w:rPr>
      </w:pPr>
    </w:p>
    <w:p w:rsid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Ms : </w:t>
      </w:r>
      <w:r w:rsidR="00EA07AB">
        <w:rPr>
          <w:rFonts w:asciiTheme="minorHAnsi" w:eastAsia="Arial" w:hAnsiTheme="minorHAnsi" w:cs="Arial"/>
          <w:color w:val="000000"/>
          <w:sz w:val="22"/>
          <w:szCs w:val="22"/>
        </w:rPr>
        <w:t xml:space="preserve">Montant relatif au contrôle des effets de l’installation sur l’environnement. </w:t>
      </w:r>
      <w:r w:rsidRPr="00A3704C">
        <w:rPr>
          <w:rFonts w:asciiTheme="minorHAnsi" w:eastAsia="Arial" w:hAnsiTheme="minorHAnsi" w:cs="Arial"/>
          <w:color w:val="000000"/>
          <w:sz w:val="22"/>
          <w:szCs w:val="22"/>
        </w:rPr>
        <w:t xml:space="preserve"> (</w:t>
      </w:r>
      <w:r w:rsidR="001B293A" w:rsidRPr="00A3704C">
        <w:rPr>
          <w:rFonts w:asciiTheme="minorHAnsi" w:eastAsia="Arial" w:hAnsiTheme="minorHAnsi" w:cs="Arial"/>
          <w:color w:val="000000"/>
          <w:sz w:val="22"/>
          <w:szCs w:val="22"/>
        </w:rPr>
        <w:t>Piézomètres</w:t>
      </w:r>
      <w:r w:rsidRPr="00A3704C">
        <w:rPr>
          <w:rFonts w:asciiTheme="minorHAnsi" w:eastAsia="Arial" w:hAnsiTheme="minorHAnsi" w:cs="Arial"/>
          <w:color w:val="000000"/>
          <w:sz w:val="22"/>
          <w:szCs w:val="22"/>
        </w:rPr>
        <w:t xml:space="preserve"> / analyse qualité des eaux de la nappe) </w:t>
      </w:r>
    </w:p>
    <w:p w:rsidR="00EA07AB" w:rsidRPr="00A3704C" w:rsidRDefault="00EA07AB" w:rsidP="00A3704C">
      <w:pPr>
        <w:autoSpaceDE w:val="0"/>
        <w:rPr>
          <w:rFonts w:asciiTheme="minorHAnsi" w:eastAsia="Arial" w:hAnsiTheme="minorHAnsi" w:cs="Arial"/>
          <w:color w:val="000000"/>
          <w:sz w:val="22"/>
          <w:szCs w:val="22"/>
        </w:rPr>
      </w:pP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Mg : </w:t>
      </w:r>
      <w:r w:rsidR="00EA07AB">
        <w:rPr>
          <w:rFonts w:asciiTheme="minorHAnsi" w:eastAsia="Arial" w:hAnsiTheme="minorHAnsi" w:cs="Arial"/>
          <w:color w:val="000000"/>
          <w:sz w:val="22"/>
          <w:szCs w:val="22"/>
        </w:rPr>
        <w:t>Montant relatif au gardiennage du site ou à tout autre dispositif équivalent.</w:t>
      </w:r>
      <w:r w:rsidRPr="00A3704C">
        <w:rPr>
          <w:rFonts w:asciiTheme="minorHAnsi" w:eastAsia="Arial" w:hAnsiTheme="minorHAnsi" w:cs="Arial"/>
          <w:color w:val="000000"/>
          <w:sz w:val="22"/>
          <w:szCs w:val="22"/>
        </w:rPr>
        <w:t xml:space="preserve"> </w:t>
      </w:r>
    </w:p>
    <w:p w:rsidR="00A3704C" w:rsidRDefault="00A3704C" w:rsidP="00A3704C">
      <w:pPr>
        <w:autoSpaceDE w:val="0"/>
        <w:rPr>
          <w:color w:val="000000"/>
        </w:rPr>
      </w:pPr>
    </w:p>
    <w:p w:rsidR="00A3704C" w:rsidRDefault="00A3704C" w:rsidP="00A3704C">
      <w:pPr>
        <w:autoSpaceDE w:val="0"/>
        <w:rPr>
          <w:color w:val="000000"/>
        </w:rPr>
      </w:pPr>
    </w:p>
    <w:p w:rsidR="00A3704C" w:rsidRDefault="00A3704C" w:rsidP="00A3704C">
      <w:pPr>
        <w:autoSpaceDE w:val="0"/>
        <w:rPr>
          <w:color w:val="000000"/>
        </w:rPr>
      </w:pPr>
    </w:p>
    <w:p w:rsidR="000F6B4A" w:rsidRDefault="000F6B4A">
      <w:pPr>
        <w:widowControl/>
        <w:suppressAutoHyphens w:val="0"/>
        <w:spacing w:after="160" w:line="259" w:lineRule="auto"/>
        <w:rPr>
          <w:rFonts w:ascii="Arial" w:eastAsia="Arial" w:hAnsi="Arial" w:cs="Arial"/>
          <w:color w:val="1F4E79" w:themeColor="accent1" w:themeShade="80"/>
          <w:sz w:val="32"/>
          <w:szCs w:val="32"/>
        </w:rPr>
      </w:pPr>
      <w:r>
        <w:rPr>
          <w:rFonts w:ascii="Arial" w:eastAsia="Arial" w:hAnsi="Arial" w:cs="Arial"/>
          <w:color w:val="1F4E79" w:themeColor="accent1" w:themeShade="80"/>
          <w:sz w:val="32"/>
          <w:szCs w:val="32"/>
        </w:rPr>
        <w:br w:type="page"/>
      </w:r>
    </w:p>
    <w:p w:rsidR="00A3704C" w:rsidRPr="00C34937" w:rsidRDefault="00A3704C" w:rsidP="00A3704C">
      <w:pPr>
        <w:autoSpaceDE w:val="0"/>
        <w:rPr>
          <w:rFonts w:ascii="Arial" w:eastAsia="Arial" w:hAnsi="Arial" w:cs="Arial"/>
          <w:color w:val="1F4E79" w:themeColor="accent1" w:themeShade="80"/>
          <w:sz w:val="32"/>
          <w:szCs w:val="32"/>
        </w:rPr>
      </w:pPr>
      <w:r w:rsidRPr="00C34937">
        <w:rPr>
          <w:rFonts w:ascii="Arial" w:eastAsia="Arial" w:hAnsi="Arial" w:cs="Arial"/>
          <w:color w:val="1F4E79" w:themeColor="accent1" w:themeShade="80"/>
          <w:sz w:val="32"/>
          <w:szCs w:val="32"/>
        </w:rPr>
        <w:lastRenderedPageBreak/>
        <w:t xml:space="preserve">2. Me : </w:t>
      </w:r>
      <w:r w:rsidR="00EA07AB" w:rsidRPr="00C34937">
        <w:rPr>
          <w:rFonts w:ascii="Arial" w:eastAsia="Arial" w:hAnsi="Arial" w:cs="Arial"/>
          <w:color w:val="1F4E79" w:themeColor="accent1" w:themeShade="80"/>
          <w:sz w:val="32"/>
          <w:szCs w:val="32"/>
        </w:rPr>
        <w:t>MONTANT</w:t>
      </w:r>
      <w:r w:rsidRPr="00C34937">
        <w:rPr>
          <w:rFonts w:ascii="Arial" w:eastAsia="Arial" w:hAnsi="Arial" w:cs="Arial"/>
          <w:color w:val="1F4E79" w:themeColor="accent1" w:themeShade="80"/>
          <w:sz w:val="32"/>
          <w:szCs w:val="32"/>
        </w:rPr>
        <w:t xml:space="preserve"> RELATIF AUX MESURES DE GESTION DES PRODUITS DANGEREUX ET DES DECHETS</w:t>
      </w:r>
      <w:r w:rsidR="00EA07AB" w:rsidRPr="00C34937">
        <w:rPr>
          <w:rFonts w:ascii="Arial" w:eastAsia="Arial" w:hAnsi="Arial" w:cs="Arial"/>
          <w:color w:val="1F4E79" w:themeColor="accent1" w:themeShade="80"/>
          <w:sz w:val="32"/>
          <w:szCs w:val="32"/>
        </w:rPr>
        <w:t>.</w:t>
      </w:r>
    </w:p>
    <w:p w:rsidR="00A3704C" w:rsidRDefault="00A3704C" w:rsidP="00A3704C">
      <w:pPr>
        <w:autoSpaceDE w:val="0"/>
        <w:rPr>
          <w:rFonts w:ascii="Arial" w:eastAsia="Arial" w:hAnsi="Arial" w:cs="Arial"/>
          <w:color w:val="000000"/>
        </w:rPr>
      </w:pPr>
    </w:p>
    <w:p w:rsidR="00A3704C" w:rsidRDefault="00A3704C" w:rsidP="00A3704C">
      <w:pPr>
        <w:autoSpaceDE w:val="0"/>
        <w:rPr>
          <w:rFonts w:ascii="Arial" w:eastAsia="Arial" w:hAnsi="Arial" w:cs="Arial"/>
          <w:color w:val="000000"/>
        </w:rPr>
      </w:pPr>
    </w:p>
    <w:p w:rsidR="00A3704C" w:rsidRDefault="00A3704C" w:rsidP="00A3704C">
      <w:pPr>
        <w:autoSpaceDE w:val="0"/>
        <w:rPr>
          <w:rFonts w:ascii="Arial" w:eastAsia="Arial" w:hAnsi="Arial" w:cs="Arial"/>
          <w:color w:val="000000"/>
        </w:rPr>
      </w:pPr>
    </w:p>
    <w:p w:rsidR="00A3704C" w:rsidRPr="00A3704C" w:rsidRDefault="00A3704C" w:rsidP="00A3704C">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color w:val="000000"/>
          <w:sz w:val="32"/>
          <w:szCs w:val="22"/>
        </w:rPr>
      </w:pPr>
      <w:r w:rsidRPr="00A3704C">
        <w:rPr>
          <w:rFonts w:asciiTheme="minorHAnsi" w:eastAsia="Arial" w:hAnsiTheme="minorHAnsi" w:cs="Arial"/>
          <w:b/>
          <w:bCs/>
          <w:color w:val="000000"/>
          <w:sz w:val="32"/>
          <w:szCs w:val="22"/>
        </w:rPr>
        <w:t xml:space="preserve">Me = </w:t>
      </w:r>
      <w:r w:rsidRPr="00A3704C">
        <w:rPr>
          <w:rFonts w:asciiTheme="minorHAnsi" w:eastAsia="Arial" w:hAnsiTheme="minorHAnsi" w:cs="Arial"/>
          <w:color w:val="000000"/>
          <w:sz w:val="32"/>
          <w:szCs w:val="22"/>
        </w:rPr>
        <w:t>Q1 (C</w:t>
      </w:r>
      <w:r w:rsidR="00EA07AB">
        <w:rPr>
          <w:rFonts w:asciiTheme="minorHAnsi" w:eastAsia="Arial" w:hAnsiTheme="minorHAnsi" w:cs="Arial"/>
          <w:color w:val="000000"/>
          <w:sz w:val="32"/>
          <w:szCs w:val="22"/>
        </w:rPr>
        <w:t>TR</w:t>
      </w:r>
      <w:r w:rsidRPr="00A3704C">
        <w:rPr>
          <w:rFonts w:asciiTheme="minorHAnsi" w:eastAsia="Arial" w:hAnsiTheme="minorHAnsi" w:cs="Arial"/>
          <w:color w:val="000000"/>
          <w:sz w:val="32"/>
          <w:szCs w:val="22"/>
        </w:rPr>
        <w:t>×d1+C1) + Q2(C</w:t>
      </w:r>
      <w:r w:rsidR="00EA07AB">
        <w:rPr>
          <w:rFonts w:asciiTheme="minorHAnsi" w:eastAsia="Arial" w:hAnsiTheme="minorHAnsi" w:cs="Arial"/>
          <w:color w:val="000000"/>
          <w:sz w:val="32"/>
          <w:szCs w:val="22"/>
        </w:rPr>
        <w:t>TR</w:t>
      </w:r>
      <w:r w:rsidRPr="00A3704C">
        <w:rPr>
          <w:rFonts w:asciiTheme="minorHAnsi" w:eastAsia="Arial" w:hAnsiTheme="minorHAnsi" w:cs="Arial"/>
          <w:color w:val="000000"/>
          <w:sz w:val="32"/>
          <w:szCs w:val="22"/>
        </w:rPr>
        <w:t>×d2+C2) + Q3(C</w:t>
      </w:r>
      <w:r w:rsidR="00EA07AB">
        <w:rPr>
          <w:rFonts w:asciiTheme="minorHAnsi" w:eastAsia="Arial" w:hAnsiTheme="minorHAnsi" w:cs="Arial"/>
          <w:color w:val="000000"/>
          <w:sz w:val="32"/>
          <w:szCs w:val="22"/>
        </w:rPr>
        <w:t>TR</w:t>
      </w:r>
      <w:r w:rsidRPr="00A3704C">
        <w:rPr>
          <w:rFonts w:asciiTheme="minorHAnsi" w:eastAsia="Arial" w:hAnsiTheme="minorHAnsi" w:cs="Arial"/>
          <w:color w:val="000000"/>
          <w:sz w:val="32"/>
          <w:szCs w:val="22"/>
        </w:rPr>
        <w:t xml:space="preserve">×d3+C3) </w:t>
      </w:r>
    </w:p>
    <w:p w:rsidR="00A3704C" w:rsidRDefault="00A3704C" w:rsidP="00A3704C">
      <w:pPr>
        <w:autoSpaceDE w:val="0"/>
        <w:rPr>
          <w:rFonts w:asciiTheme="minorHAnsi" w:eastAsia="Arial" w:hAnsiTheme="minorHAnsi" w:cs="Arial"/>
          <w:color w:val="000000"/>
          <w:sz w:val="22"/>
          <w:szCs w:val="22"/>
        </w:rPr>
      </w:pPr>
    </w:p>
    <w:p w:rsidR="00A3704C" w:rsidRPr="00A3704C" w:rsidRDefault="00A3704C" w:rsidP="00A3704C">
      <w:pPr>
        <w:autoSpaceDE w:val="0"/>
        <w:rPr>
          <w:rFonts w:asciiTheme="minorHAnsi" w:eastAsia="Arial" w:hAnsiTheme="minorHAnsi" w:cs="Arial"/>
          <w:color w:val="000000"/>
          <w:szCs w:val="22"/>
          <w:u w:val="single"/>
        </w:rPr>
      </w:pPr>
      <w:r w:rsidRPr="00A3704C">
        <w:rPr>
          <w:rFonts w:asciiTheme="minorHAnsi" w:eastAsia="Arial" w:hAnsiTheme="minorHAnsi" w:cs="Arial"/>
          <w:color w:val="000000"/>
          <w:szCs w:val="22"/>
          <w:u w:val="single"/>
        </w:rPr>
        <w:t>avec :</w:t>
      </w:r>
    </w:p>
    <w:p w:rsidR="00A3704C" w:rsidRPr="00A3704C" w:rsidRDefault="00A3704C" w:rsidP="00A3704C">
      <w:pPr>
        <w:autoSpaceDE w:val="0"/>
        <w:rPr>
          <w:rFonts w:asciiTheme="minorHAnsi" w:eastAsia="Arial" w:hAnsiTheme="minorHAnsi" w:cs="Arial"/>
          <w:color w:val="000000"/>
          <w:sz w:val="22"/>
          <w:szCs w:val="22"/>
        </w:rPr>
      </w:pP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Q1 (en tonnes ou en litres) : quantité totale de produits et de déchets dangereux à éliminer.</w:t>
      </w: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Q2 (en tonnes ou en litres) : quantité totale de déchets non dangereux à éliminer.</w:t>
      </w: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Q3 (en tonnes ou en litres) : pour les installations de traitement de déchets, quantité totale de déchets inertes à éliminer.</w:t>
      </w:r>
    </w:p>
    <w:p w:rsidR="00A3704C" w:rsidRPr="00A3704C" w:rsidRDefault="00EA07AB" w:rsidP="00A3704C">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CTR</w:t>
      </w:r>
      <w:r w:rsidR="00A3704C" w:rsidRPr="00A3704C">
        <w:rPr>
          <w:rFonts w:asciiTheme="minorHAnsi" w:eastAsia="Arial" w:hAnsiTheme="minorHAnsi" w:cs="Arial"/>
          <w:color w:val="000000"/>
          <w:sz w:val="22"/>
          <w:szCs w:val="22"/>
        </w:rPr>
        <w:t xml:space="preserve"> : coût de transport des produits dangereux ou déchets à éliminer.</w:t>
      </w:r>
    </w:p>
    <w:p w:rsid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 xml:space="preserve">d1, d2, d3 : distances entre le site de l'installation classée et les centres de traitement ou d'élimination permettant respectivement la gestion des quantités  Q1, Q2 et Q3 </w:t>
      </w: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C1 : coût des opérations de gestion jusqu'à l'élimination des produits dangereux ou des déchets.</w:t>
      </w: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C2 : coût des opérations de gestion jusqu'à l'élimination des déchets non dangereux.</w:t>
      </w:r>
    </w:p>
    <w:p w:rsidR="00A3704C" w:rsidRPr="00A3704C"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C3 : coût des opérations de gestion jusqu'à l'élimination des déchets inertes.</w:t>
      </w:r>
    </w:p>
    <w:p w:rsidR="00A3704C" w:rsidRPr="00A3704C" w:rsidRDefault="00A3704C" w:rsidP="00A3704C">
      <w:pPr>
        <w:autoSpaceDE w:val="0"/>
        <w:rPr>
          <w:rFonts w:asciiTheme="minorHAnsi" w:eastAsia="Arial" w:hAnsiTheme="minorHAnsi" w:cs="Arial"/>
          <w:color w:val="000000"/>
          <w:sz w:val="22"/>
          <w:szCs w:val="22"/>
        </w:rPr>
      </w:pPr>
    </w:p>
    <w:p w:rsidR="00375CDE" w:rsidRDefault="00A3704C" w:rsidP="00A3704C">
      <w:pPr>
        <w:autoSpaceDE w:val="0"/>
        <w:rPr>
          <w:rFonts w:asciiTheme="minorHAnsi" w:eastAsia="Arial" w:hAnsiTheme="minorHAnsi" w:cs="Arial"/>
          <w:color w:val="000000"/>
          <w:sz w:val="22"/>
          <w:szCs w:val="22"/>
        </w:rPr>
      </w:pPr>
      <w:r w:rsidRPr="00A3704C">
        <w:rPr>
          <w:rFonts w:asciiTheme="minorHAnsi" w:eastAsia="Arial" w:hAnsiTheme="minorHAnsi" w:cs="Arial"/>
          <w:color w:val="000000"/>
          <w:sz w:val="22"/>
          <w:szCs w:val="22"/>
        </w:rPr>
        <w:t>Coûts unitaires (TTC) : les coûts C1, C2, C3 , C</w:t>
      </w:r>
      <w:r w:rsidR="00EA07AB">
        <w:rPr>
          <w:rFonts w:asciiTheme="minorHAnsi" w:eastAsia="Arial" w:hAnsiTheme="minorHAnsi" w:cs="Arial"/>
          <w:color w:val="000000"/>
          <w:sz w:val="22"/>
          <w:szCs w:val="22"/>
        </w:rPr>
        <w:t>TR</w:t>
      </w:r>
      <w:r w:rsidRPr="00A3704C">
        <w:rPr>
          <w:rFonts w:asciiTheme="minorHAnsi" w:eastAsia="Arial" w:hAnsiTheme="minorHAnsi" w:cs="Arial"/>
          <w:color w:val="000000"/>
          <w:sz w:val="22"/>
          <w:szCs w:val="22"/>
        </w:rPr>
        <w:t>, sont déterminés par le Préfet sur proposition de l'exploitant.</w:t>
      </w:r>
    </w:p>
    <w:p w:rsidR="00A3704C" w:rsidRDefault="00A3704C" w:rsidP="00A3704C">
      <w:pPr>
        <w:autoSpaceDE w:val="0"/>
        <w:rPr>
          <w:rFonts w:asciiTheme="minorHAnsi" w:eastAsia="Arial" w:hAnsiTheme="minorHAnsi" w:cs="Arial"/>
          <w:color w:val="000000"/>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911"/>
        <w:gridCol w:w="851"/>
        <w:gridCol w:w="1276"/>
        <w:gridCol w:w="992"/>
        <w:gridCol w:w="937"/>
        <w:gridCol w:w="1679"/>
      </w:tblGrid>
      <w:tr w:rsidR="00A3704C" w:rsidRPr="00A3704C" w:rsidTr="00E0320A">
        <w:tc>
          <w:tcPr>
            <w:tcW w:w="3911" w:type="dxa"/>
            <w:tcBorders>
              <w:top w:val="single" w:sz="2" w:space="0" w:color="000000"/>
              <w:left w:val="single" w:sz="2" w:space="0" w:color="000000"/>
              <w:bottom w:val="single" w:sz="2" w:space="0" w:color="000000"/>
              <w:right w:val="nil"/>
            </w:tcBorders>
            <w:hideMark/>
          </w:tcPr>
          <w:p w:rsidR="00A3704C" w:rsidRPr="00A3704C" w:rsidRDefault="00A3704C">
            <w:pPr>
              <w:pStyle w:val="Contenudetableau"/>
              <w:rPr>
                <w:rFonts w:asciiTheme="minorHAnsi" w:hAnsiTheme="minorHAnsi"/>
                <w:b/>
                <w:bCs/>
                <w:sz w:val="22"/>
                <w:szCs w:val="22"/>
              </w:rPr>
            </w:pPr>
            <w:r w:rsidRPr="00A3704C">
              <w:rPr>
                <w:rFonts w:asciiTheme="minorHAnsi" w:hAnsiTheme="minorHAnsi"/>
                <w:b/>
                <w:bCs/>
                <w:sz w:val="22"/>
                <w:szCs w:val="22"/>
              </w:rPr>
              <w:t xml:space="preserve">Type de produits et déchets à évacuer </w:t>
            </w:r>
          </w:p>
        </w:tc>
        <w:tc>
          <w:tcPr>
            <w:tcW w:w="851" w:type="dxa"/>
            <w:tcBorders>
              <w:top w:val="single" w:sz="2" w:space="0" w:color="000000"/>
              <w:left w:val="single" w:sz="2" w:space="0" w:color="000000"/>
              <w:bottom w:val="single" w:sz="2" w:space="0" w:color="000000"/>
              <w:right w:val="nil"/>
            </w:tcBorders>
            <w:hideMark/>
          </w:tcPr>
          <w:p w:rsidR="00A3704C" w:rsidRPr="00A3704C" w:rsidRDefault="00A3704C" w:rsidP="00507EB0">
            <w:pPr>
              <w:pStyle w:val="Contenudetableau"/>
              <w:jc w:val="center"/>
              <w:rPr>
                <w:rFonts w:asciiTheme="minorHAnsi" w:hAnsiTheme="minorHAnsi"/>
                <w:b/>
                <w:bCs/>
                <w:sz w:val="22"/>
                <w:szCs w:val="22"/>
              </w:rPr>
            </w:pPr>
            <w:r w:rsidRPr="00A3704C">
              <w:rPr>
                <w:rFonts w:asciiTheme="minorHAnsi" w:hAnsiTheme="minorHAnsi"/>
                <w:b/>
                <w:bCs/>
                <w:sz w:val="22"/>
                <w:szCs w:val="22"/>
              </w:rPr>
              <w:t>Q</w:t>
            </w:r>
          </w:p>
        </w:tc>
        <w:tc>
          <w:tcPr>
            <w:tcW w:w="1276" w:type="dxa"/>
            <w:tcBorders>
              <w:top w:val="single" w:sz="2" w:space="0" w:color="000000"/>
              <w:left w:val="single" w:sz="2" w:space="0" w:color="000000"/>
              <w:bottom w:val="single" w:sz="2" w:space="0" w:color="000000"/>
              <w:right w:val="nil"/>
            </w:tcBorders>
            <w:hideMark/>
          </w:tcPr>
          <w:p w:rsidR="00A3704C" w:rsidRPr="00A3704C" w:rsidRDefault="00A3704C" w:rsidP="00507EB0">
            <w:pPr>
              <w:pStyle w:val="Contenudetableau"/>
              <w:jc w:val="center"/>
              <w:rPr>
                <w:rFonts w:asciiTheme="minorHAnsi" w:hAnsiTheme="minorHAnsi"/>
                <w:b/>
                <w:bCs/>
                <w:sz w:val="22"/>
                <w:szCs w:val="22"/>
              </w:rPr>
            </w:pPr>
            <w:r w:rsidRPr="00A3704C">
              <w:rPr>
                <w:rFonts w:asciiTheme="minorHAnsi" w:hAnsiTheme="minorHAnsi"/>
                <w:b/>
                <w:bCs/>
                <w:sz w:val="22"/>
                <w:szCs w:val="22"/>
              </w:rPr>
              <w:t>Unité</w:t>
            </w:r>
          </w:p>
        </w:tc>
        <w:tc>
          <w:tcPr>
            <w:tcW w:w="992" w:type="dxa"/>
            <w:tcBorders>
              <w:top w:val="single" w:sz="2" w:space="0" w:color="000000"/>
              <w:left w:val="single" w:sz="2" w:space="0" w:color="000000"/>
              <w:bottom w:val="single" w:sz="2" w:space="0" w:color="000000"/>
              <w:right w:val="nil"/>
            </w:tcBorders>
            <w:hideMark/>
          </w:tcPr>
          <w:p w:rsidR="00A3704C" w:rsidRPr="00A3704C" w:rsidRDefault="00A3704C" w:rsidP="00507EB0">
            <w:pPr>
              <w:pStyle w:val="Contenudetableau"/>
              <w:jc w:val="center"/>
              <w:rPr>
                <w:rFonts w:asciiTheme="minorHAnsi" w:hAnsiTheme="minorHAnsi"/>
                <w:b/>
                <w:bCs/>
                <w:sz w:val="22"/>
                <w:szCs w:val="22"/>
              </w:rPr>
            </w:pPr>
            <w:r w:rsidRPr="00A3704C">
              <w:rPr>
                <w:rFonts w:asciiTheme="minorHAnsi" w:hAnsiTheme="minorHAnsi"/>
                <w:b/>
                <w:bCs/>
                <w:sz w:val="22"/>
                <w:szCs w:val="22"/>
              </w:rPr>
              <w:t>Ctr €/t</w:t>
            </w:r>
          </w:p>
        </w:tc>
        <w:tc>
          <w:tcPr>
            <w:tcW w:w="937" w:type="dxa"/>
            <w:tcBorders>
              <w:top w:val="single" w:sz="2" w:space="0" w:color="000000"/>
              <w:left w:val="single" w:sz="2" w:space="0" w:color="000000"/>
              <w:bottom w:val="single" w:sz="2" w:space="0" w:color="000000"/>
              <w:right w:val="nil"/>
            </w:tcBorders>
            <w:hideMark/>
          </w:tcPr>
          <w:p w:rsidR="00A3704C" w:rsidRPr="00A3704C" w:rsidRDefault="00A3704C" w:rsidP="00507EB0">
            <w:pPr>
              <w:pStyle w:val="Contenudetableau"/>
              <w:jc w:val="center"/>
              <w:rPr>
                <w:rFonts w:asciiTheme="minorHAnsi" w:hAnsiTheme="minorHAnsi"/>
                <w:b/>
                <w:bCs/>
                <w:sz w:val="22"/>
                <w:szCs w:val="22"/>
              </w:rPr>
            </w:pPr>
            <w:r w:rsidRPr="00A3704C">
              <w:rPr>
                <w:rFonts w:asciiTheme="minorHAnsi" w:hAnsiTheme="minorHAnsi"/>
                <w:b/>
                <w:bCs/>
                <w:sz w:val="22"/>
                <w:szCs w:val="22"/>
              </w:rPr>
              <w:t>C €/t</w:t>
            </w:r>
          </w:p>
        </w:tc>
        <w:tc>
          <w:tcPr>
            <w:tcW w:w="1679" w:type="dxa"/>
            <w:tcBorders>
              <w:top w:val="single" w:sz="2" w:space="0" w:color="000000"/>
              <w:left w:val="single" w:sz="2" w:space="0" w:color="000000"/>
              <w:bottom w:val="single" w:sz="2" w:space="0" w:color="000000"/>
              <w:right w:val="single" w:sz="2" w:space="0" w:color="000000"/>
            </w:tcBorders>
            <w:hideMark/>
          </w:tcPr>
          <w:p w:rsidR="00A3704C" w:rsidRPr="00A3704C" w:rsidRDefault="00A3704C">
            <w:pPr>
              <w:pStyle w:val="Contenudetableau"/>
              <w:rPr>
                <w:rFonts w:asciiTheme="minorHAnsi" w:hAnsiTheme="minorHAnsi"/>
                <w:sz w:val="22"/>
                <w:szCs w:val="22"/>
              </w:rPr>
            </w:pPr>
            <w:r w:rsidRPr="00A3704C">
              <w:rPr>
                <w:rFonts w:asciiTheme="minorHAnsi" w:hAnsiTheme="minorHAnsi"/>
                <w:b/>
                <w:bCs/>
                <w:sz w:val="22"/>
                <w:szCs w:val="22"/>
              </w:rPr>
              <w:t>Sous total  €</w:t>
            </w:r>
          </w:p>
        </w:tc>
      </w:tr>
      <w:tr w:rsidR="00021A25" w:rsidRPr="00A3704C" w:rsidTr="00021A25">
        <w:tc>
          <w:tcPr>
            <w:tcW w:w="3911" w:type="dxa"/>
            <w:tcBorders>
              <w:top w:val="nil"/>
              <w:left w:val="single" w:sz="2" w:space="0" w:color="000000"/>
              <w:bottom w:val="single" w:sz="2" w:space="0" w:color="000000"/>
              <w:right w:val="nil"/>
            </w:tcBorders>
            <w:hideMark/>
          </w:tcPr>
          <w:p w:rsidR="00021A25" w:rsidRPr="00A3704C" w:rsidRDefault="00021A25">
            <w:pPr>
              <w:pStyle w:val="Contenudetableau"/>
              <w:rPr>
                <w:rFonts w:asciiTheme="minorHAnsi" w:hAnsiTheme="minorHAnsi"/>
                <w:sz w:val="22"/>
                <w:szCs w:val="22"/>
              </w:rPr>
            </w:pPr>
            <w:r w:rsidRPr="00A3704C">
              <w:rPr>
                <w:rFonts w:asciiTheme="minorHAnsi" w:hAnsiTheme="minorHAnsi"/>
                <w:sz w:val="22"/>
                <w:szCs w:val="22"/>
              </w:rPr>
              <w:t xml:space="preserve">Déchets TLC entrants </w:t>
            </w:r>
            <w:r w:rsidRPr="004C6663">
              <w:rPr>
                <w:rFonts w:asciiTheme="minorHAnsi" w:hAnsiTheme="minorHAnsi"/>
                <w:sz w:val="22"/>
                <w:szCs w:val="22"/>
                <w:vertAlign w:val="superscript"/>
              </w:rPr>
              <w:t>(1)</w:t>
            </w:r>
          </w:p>
        </w:tc>
        <w:tc>
          <w:tcPr>
            <w:tcW w:w="851" w:type="dxa"/>
            <w:vMerge w:val="restart"/>
            <w:tcBorders>
              <w:top w:val="nil"/>
              <w:left w:val="single" w:sz="2" w:space="0" w:color="000000"/>
              <w:right w:val="nil"/>
            </w:tcBorders>
          </w:tcPr>
          <w:p w:rsidR="00021A25" w:rsidRPr="00A3704C" w:rsidRDefault="000068E3" w:rsidP="00507EB0">
            <w:pPr>
              <w:pStyle w:val="Contenudetableau"/>
              <w:jc w:val="center"/>
              <w:rPr>
                <w:rFonts w:asciiTheme="minorHAnsi" w:hAnsiTheme="minorHAnsi"/>
                <w:sz w:val="22"/>
                <w:szCs w:val="22"/>
                <w:highlight w:val="yellow"/>
              </w:rPr>
            </w:pPr>
            <w:r>
              <w:rPr>
                <w:rFonts w:asciiTheme="minorHAnsi" w:hAnsiTheme="minorHAnsi"/>
                <w:sz w:val="22"/>
                <w:szCs w:val="22"/>
              </w:rPr>
              <w:t>35</w:t>
            </w:r>
            <w:r w:rsidR="00FB6539" w:rsidRPr="00FB6539">
              <w:rPr>
                <w:rFonts w:asciiTheme="minorHAnsi" w:hAnsiTheme="minorHAnsi"/>
                <w:sz w:val="22"/>
                <w:szCs w:val="22"/>
              </w:rPr>
              <w:t>00</w:t>
            </w:r>
          </w:p>
        </w:tc>
        <w:tc>
          <w:tcPr>
            <w:tcW w:w="1276"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M3</w:t>
            </w:r>
          </w:p>
        </w:tc>
        <w:tc>
          <w:tcPr>
            <w:tcW w:w="992"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c>
          <w:tcPr>
            <w:tcW w:w="937"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c>
          <w:tcPr>
            <w:tcW w:w="1679" w:type="dxa"/>
            <w:tcBorders>
              <w:top w:val="nil"/>
              <w:left w:val="single" w:sz="2" w:space="0" w:color="000000"/>
              <w:bottom w:val="single" w:sz="2" w:space="0" w:color="000000"/>
              <w:right w:val="single" w:sz="2" w:space="0" w:color="000000"/>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r>
      <w:tr w:rsidR="00021A25" w:rsidRPr="00A3704C" w:rsidTr="008015F0">
        <w:tc>
          <w:tcPr>
            <w:tcW w:w="3911" w:type="dxa"/>
            <w:tcBorders>
              <w:top w:val="nil"/>
              <w:left w:val="single" w:sz="2" w:space="0" w:color="000000"/>
              <w:bottom w:val="single" w:sz="2" w:space="0" w:color="000000"/>
              <w:right w:val="nil"/>
            </w:tcBorders>
            <w:hideMark/>
          </w:tcPr>
          <w:p w:rsidR="00021A25" w:rsidRPr="00A3704C" w:rsidRDefault="00021A25">
            <w:pPr>
              <w:pStyle w:val="Contenudetableau"/>
              <w:rPr>
                <w:rFonts w:asciiTheme="minorHAnsi" w:hAnsiTheme="minorHAnsi"/>
                <w:sz w:val="22"/>
                <w:szCs w:val="22"/>
              </w:rPr>
            </w:pPr>
            <w:r w:rsidRPr="00A3704C">
              <w:rPr>
                <w:rFonts w:asciiTheme="minorHAnsi" w:hAnsiTheme="minorHAnsi"/>
                <w:sz w:val="22"/>
                <w:szCs w:val="22"/>
              </w:rPr>
              <w:t xml:space="preserve">Déchets TLC Sortants </w:t>
            </w:r>
            <w:r w:rsidRPr="004C6663">
              <w:rPr>
                <w:rFonts w:asciiTheme="minorHAnsi" w:hAnsiTheme="minorHAnsi"/>
                <w:sz w:val="22"/>
                <w:szCs w:val="22"/>
                <w:vertAlign w:val="superscript"/>
              </w:rPr>
              <w:t>(1)</w:t>
            </w:r>
          </w:p>
        </w:tc>
        <w:tc>
          <w:tcPr>
            <w:tcW w:w="851" w:type="dxa"/>
            <w:vMerge/>
            <w:tcBorders>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highlight w:val="yellow"/>
              </w:rPr>
            </w:pPr>
          </w:p>
        </w:tc>
        <w:tc>
          <w:tcPr>
            <w:tcW w:w="1276"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M3</w:t>
            </w:r>
          </w:p>
        </w:tc>
        <w:tc>
          <w:tcPr>
            <w:tcW w:w="992"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c>
          <w:tcPr>
            <w:tcW w:w="937" w:type="dxa"/>
            <w:tcBorders>
              <w:top w:val="nil"/>
              <w:left w:val="single" w:sz="2" w:space="0" w:color="000000"/>
              <w:bottom w:val="single" w:sz="2" w:space="0" w:color="000000"/>
              <w:right w:val="nil"/>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c>
          <w:tcPr>
            <w:tcW w:w="1679" w:type="dxa"/>
            <w:tcBorders>
              <w:top w:val="nil"/>
              <w:left w:val="single" w:sz="2" w:space="0" w:color="000000"/>
              <w:bottom w:val="single" w:sz="2" w:space="0" w:color="000000"/>
              <w:right w:val="single" w:sz="2" w:space="0" w:color="000000"/>
            </w:tcBorders>
            <w:hideMark/>
          </w:tcPr>
          <w:p w:rsidR="00021A25" w:rsidRPr="00A3704C" w:rsidRDefault="00021A25" w:rsidP="00507EB0">
            <w:pPr>
              <w:pStyle w:val="Contenudetableau"/>
              <w:jc w:val="center"/>
              <w:rPr>
                <w:rFonts w:asciiTheme="minorHAnsi" w:hAnsiTheme="minorHAnsi"/>
                <w:sz w:val="22"/>
                <w:szCs w:val="22"/>
              </w:rPr>
            </w:pPr>
            <w:r w:rsidRPr="00A3704C">
              <w:rPr>
                <w:rFonts w:asciiTheme="minorHAnsi" w:hAnsiTheme="minorHAnsi"/>
                <w:sz w:val="22"/>
                <w:szCs w:val="22"/>
              </w:rPr>
              <w:t>0</w:t>
            </w:r>
          </w:p>
        </w:tc>
      </w:tr>
      <w:tr w:rsidR="00A3704C" w:rsidRPr="00A3704C" w:rsidTr="00E0320A">
        <w:tc>
          <w:tcPr>
            <w:tcW w:w="3911" w:type="dxa"/>
            <w:tcBorders>
              <w:top w:val="nil"/>
              <w:left w:val="single" w:sz="2" w:space="0" w:color="000000"/>
              <w:bottom w:val="single" w:sz="2" w:space="0" w:color="000000"/>
              <w:right w:val="nil"/>
            </w:tcBorders>
            <w:hideMark/>
          </w:tcPr>
          <w:p w:rsidR="00A3704C" w:rsidRPr="00242E2A" w:rsidRDefault="00A3704C" w:rsidP="00021A25">
            <w:pPr>
              <w:pStyle w:val="Contenudetableau"/>
              <w:rPr>
                <w:rFonts w:asciiTheme="minorHAnsi" w:hAnsiTheme="minorHAnsi"/>
                <w:sz w:val="22"/>
                <w:szCs w:val="22"/>
              </w:rPr>
            </w:pPr>
            <w:r w:rsidRPr="00242E2A">
              <w:rPr>
                <w:rFonts w:asciiTheme="minorHAnsi" w:hAnsiTheme="minorHAnsi"/>
                <w:sz w:val="22"/>
                <w:szCs w:val="22"/>
              </w:rPr>
              <w:t>Déchets Textiles CSR</w:t>
            </w:r>
            <w:r w:rsidR="004C6663" w:rsidRPr="00242E2A">
              <w:rPr>
                <w:rFonts w:asciiTheme="minorHAnsi" w:hAnsiTheme="minorHAnsi"/>
                <w:sz w:val="22"/>
                <w:szCs w:val="22"/>
              </w:rPr>
              <w:t xml:space="preserve"> </w:t>
            </w:r>
            <w:r w:rsidR="00021A25" w:rsidRPr="00242E2A">
              <w:rPr>
                <w:rFonts w:asciiTheme="minorHAnsi" w:hAnsiTheme="minorHAnsi"/>
                <w:sz w:val="22"/>
                <w:szCs w:val="22"/>
                <w:vertAlign w:val="superscript"/>
              </w:rPr>
              <w:t>(2)</w:t>
            </w:r>
          </w:p>
        </w:tc>
        <w:tc>
          <w:tcPr>
            <w:tcW w:w="851" w:type="dxa"/>
            <w:tcBorders>
              <w:top w:val="nil"/>
              <w:left w:val="single" w:sz="2" w:space="0" w:color="000000"/>
              <w:bottom w:val="single" w:sz="2" w:space="0" w:color="000000"/>
              <w:right w:val="nil"/>
            </w:tcBorders>
            <w:hideMark/>
          </w:tcPr>
          <w:p w:rsidR="00A3704C" w:rsidRPr="00242E2A" w:rsidRDefault="00BA53A9" w:rsidP="00507EB0">
            <w:pPr>
              <w:pStyle w:val="Contenudetableau"/>
              <w:jc w:val="center"/>
              <w:rPr>
                <w:rFonts w:asciiTheme="minorHAnsi" w:hAnsiTheme="minorHAnsi"/>
                <w:sz w:val="22"/>
                <w:szCs w:val="22"/>
              </w:rPr>
            </w:pPr>
            <w:r>
              <w:rPr>
                <w:rFonts w:asciiTheme="minorHAnsi" w:hAnsiTheme="minorHAnsi"/>
                <w:sz w:val="22"/>
                <w:szCs w:val="22"/>
              </w:rPr>
              <w:t>30</w:t>
            </w:r>
          </w:p>
        </w:tc>
        <w:tc>
          <w:tcPr>
            <w:tcW w:w="1276" w:type="dxa"/>
            <w:tcBorders>
              <w:top w:val="nil"/>
              <w:left w:val="single" w:sz="2" w:space="0" w:color="000000"/>
              <w:bottom w:val="single" w:sz="2" w:space="0" w:color="000000"/>
              <w:right w:val="nil"/>
            </w:tcBorders>
            <w:hideMark/>
          </w:tcPr>
          <w:p w:rsidR="00A3704C" w:rsidRPr="00242E2A" w:rsidRDefault="00A3704C" w:rsidP="00507EB0">
            <w:pPr>
              <w:pStyle w:val="Contenudetableau"/>
              <w:jc w:val="center"/>
              <w:rPr>
                <w:rFonts w:asciiTheme="minorHAnsi" w:hAnsiTheme="minorHAnsi"/>
                <w:sz w:val="22"/>
                <w:szCs w:val="22"/>
              </w:rPr>
            </w:pPr>
            <w:r w:rsidRPr="00242E2A">
              <w:rPr>
                <w:rFonts w:asciiTheme="minorHAnsi" w:hAnsiTheme="minorHAnsi"/>
                <w:sz w:val="22"/>
                <w:szCs w:val="22"/>
              </w:rPr>
              <w:t>Tonnes</w:t>
            </w:r>
          </w:p>
        </w:tc>
        <w:tc>
          <w:tcPr>
            <w:tcW w:w="992" w:type="dxa"/>
            <w:tcBorders>
              <w:top w:val="nil"/>
              <w:left w:val="single" w:sz="2" w:space="0" w:color="000000"/>
              <w:bottom w:val="single" w:sz="2" w:space="0" w:color="000000"/>
              <w:right w:val="nil"/>
            </w:tcBorders>
            <w:hideMark/>
          </w:tcPr>
          <w:p w:rsidR="00A3704C" w:rsidRPr="00242E2A" w:rsidRDefault="00242E2A" w:rsidP="00507EB0">
            <w:pPr>
              <w:pStyle w:val="Contenudetableau"/>
              <w:jc w:val="center"/>
              <w:rPr>
                <w:rFonts w:asciiTheme="minorHAnsi" w:hAnsiTheme="minorHAnsi"/>
                <w:sz w:val="22"/>
                <w:szCs w:val="22"/>
              </w:rPr>
            </w:pPr>
            <w:r>
              <w:rPr>
                <w:rFonts w:asciiTheme="minorHAnsi" w:hAnsiTheme="minorHAnsi"/>
                <w:sz w:val="22"/>
                <w:szCs w:val="22"/>
              </w:rPr>
              <w:t>0</w:t>
            </w:r>
          </w:p>
        </w:tc>
        <w:tc>
          <w:tcPr>
            <w:tcW w:w="937" w:type="dxa"/>
            <w:tcBorders>
              <w:top w:val="nil"/>
              <w:left w:val="single" w:sz="2" w:space="0" w:color="000000"/>
              <w:bottom w:val="single" w:sz="2" w:space="0" w:color="000000"/>
              <w:right w:val="nil"/>
            </w:tcBorders>
            <w:hideMark/>
          </w:tcPr>
          <w:p w:rsidR="00A3704C" w:rsidRPr="00242E2A" w:rsidRDefault="00A3704C" w:rsidP="00507EB0">
            <w:pPr>
              <w:pStyle w:val="Contenudetableau"/>
              <w:jc w:val="center"/>
              <w:rPr>
                <w:rFonts w:asciiTheme="minorHAnsi" w:hAnsiTheme="minorHAnsi"/>
                <w:sz w:val="22"/>
                <w:szCs w:val="22"/>
              </w:rPr>
            </w:pPr>
            <w:r w:rsidRPr="00242E2A">
              <w:rPr>
                <w:rFonts w:asciiTheme="minorHAnsi" w:hAnsiTheme="minorHAnsi"/>
                <w:sz w:val="22"/>
                <w:szCs w:val="22"/>
              </w:rPr>
              <w:t>70</w:t>
            </w:r>
          </w:p>
        </w:tc>
        <w:tc>
          <w:tcPr>
            <w:tcW w:w="1679" w:type="dxa"/>
            <w:tcBorders>
              <w:top w:val="nil"/>
              <w:left w:val="single" w:sz="2" w:space="0" w:color="000000"/>
              <w:bottom w:val="single" w:sz="2" w:space="0" w:color="000000"/>
              <w:right w:val="single" w:sz="2" w:space="0" w:color="000000"/>
            </w:tcBorders>
            <w:hideMark/>
          </w:tcPr>
          <w:p w:rsidR="00A3704C" w:rsidRPr="00A3704C" w:rsidRDefault="00F81BBB" w:rsidP="00507EB0">
            <w:pPr>
              <w:pStyle w:val="Contenudetableau"/>
              <w:jc w:val="center"/>
              <w:rPr>
                <w:rFonts w:asciiTheme="minorHAnsi" w:hAnsiTheme="minorHAnsi"/>
                <w:sz w:val="22"/>
                <w:szCs w:val="22"/>
              </w:rPr>
            </w:pPr>
            <w:r>
              <w:rPr>
                <w:rFonts w:asciiTheme="minorHAnsi" w:hAnsiTheme="minorHAnsi"/>
                <w:sz w:val="22"/>
                <w:szCs w:val="22"/>
              </w:rPr>
              <w:t>2100</w:t>
            </w:r>
          </w:p>
        </w:tc>
      </w:tr>
      <w:tr w:rsidR="00A3704C" w:rsidRPr="00A3704C" w:rsidTr="00E0320A">
        <w:tc>
          <w:tcPr>
            <w:tcW w:w="3911" w:type="dxa"/>
            <w:tcBorders>
              <w:top w:val="nil"/>
              <w:left w:val="single" w:sz="2" w:space="0" w:color="000000"/>
              <w:bottom w:val="single" w:sz="2" w:space="0" w:color="000000"/>
              <w:right w:val="nil"/>
            </w:tcBorders>
            <w:hideMark/>
          </w:tcPr>
          <w:p w:rsidR="00A3704C" w:rsidRPr="00EF42AD" w:rsidRDefault="00E2458F">
            <w:pPr>
              <w:pStyle w:val="Contenudetableau"/>
              <w:rPr>
                <w:rFonts w:asciiTheme="minorHAnsi" w:hAnsiTheme="minorHAnsi"/>
                <w:sz w:val="22"/>
                <w:szCs w:val="22"/>
              </w:rPr>
            </w:pPr>
            <w:r w:rsidRPr="00EF42AD">
              <w:rPr>
                <w:rFonts w:asciiTheme="minorHAnsi" w:hAnsiTheme="minorHAnsi"/>
                <w:sz w:val="22"/>
                <w:szCs w:val="22"/>
              </w:rPr>
              <w:t>DIB divers</w:t>
            </w:r>
            <w:r w:rsidR="00EF42AD" w:rsidRPr="00EF42AD">
              <w:rPr>
                <w:rFonts w:asciiTheme="minorHAnsi" w:hAnsiTheme="minorHAnsi"/>
                <w:sz w:val="22"/>
                <w:szCs w:val="22"/>
              </w:rPr>
              <w:t xml:space="preserve"> (1 benne)</w:t>
            </w:r>
            <w:r w:rsidR="00A3704C" w:rsidRPr="00EF42AD">
              <w:rPr>
                <w:rFonts w:asciiTheme="minorHAnsi" w:hAnsiTheme="minorHAnsi"/>
                <w:sz w:val="22"/>
                <w:szCs w:val="22"/>
              </w:rPr>
              <w:t xml:space="preserve"> </w:t>
            </w:r>
            <w:r w:rsidRPr="00EF42AD">
              <w:rPr>
                <w:rFonts w:asciiTheme="minorHAnsi" w:hAnsiTheme="minorHAnsi"/>
                <w:sz w:val="22"/>
                <w:szCs w:val="22"/>
                <w:vertAlign w:val="superscript"/>
              </w:rPr>
              <w:t>(3)</w:t>
            </w:r>
          </w:p>
        </w:tc>
        <w:tc>
          <w:tcPr>
            <w:tcW w:w="851" w:type="dxa"/>
            <w:tcBorders>
              <w:top w:val="nil"/>
              <w:left w:val="single" w:sz="2" w:space="0" w:color="000000"/>
              <w:bottom w:val="single" w:sz="2" w:space="0" w:color="000000"/>
              <w:right w:val="nil"/>
            </w:tcBorders>
            <w:hideMark/>
          </w:tcPr>
          <w:p w:rsidR="00A3704C" w:rsidRPr="00EF42AD" w:rsidRDefault="00EF42AD" w:rsidP="00507EB0">
            <w:pPr>
              <w:pStyle w:val="Contenudetableau"/>
              <w:jc w:val="center"/>
              <w:rPr>
                <w:rFonts w:asciiTheme="minorHAnsi" w:hAnsiTheme="minorHAnsi"/>
                <w:sz w:val="22"/>
                <w:szCs w:val="22"/>
              </w:rPr>
            </w:pPr>
            <w:r>
              <w:rPr>
                <w:rFonts w:asciiTheme="minorHAnsi" w:hAnsiTheme="minorHAnsi"/>
                <w:sz w:val="22"/>
                <w:szCs w:val="22"/>
              </w:rPr>
              <w:t>5,9</w:t>
            </w:r>
          </w:p>
        </w:tc>
        <w:tc>
          <w:tcPr>
            <w:tcW w:w="1276" w:type="dxa"/>
            <w:tcBorders>
              <w:top w:val="nil"/>
              <w:left w:val="single" w:sz="2" w:space="0" w:color="000000"/>
              <w:bottom w:val="single" w:sz="2" w:space="0" w:color="000000"/>
              <w:right w:val="nil"/>
            </w:tcBorders>
            <w:hideMark/>
          </w:tcPr>
          <w:p w:rsidR="00A3704C" w:rsidRPr="00EF42AD" w:rsidRDefault="00A3704C" w:rsidP="00507EB0">
            <w:pPr>
              <w:pStyle w:val="Contenudetableau"/>
              <w:jc w:val="center"/>
              <w:rPr>
                <w:rFonts w:asciiTheme="minorHAnsi" w:hAnsiTheme="minorHAnsi"/>
                <w:sz w:val="22"/>
                <w:szCs w:val="22"/>
              </w:rPr>
            </w:pPr>
            <w:r w:rsidRPr="00EF42AD">
              <w:rPr>
                <w:rFonts w:asciiTheme="minorHAnsi" w:hAnsiTheme="minorHAnsi"/>
                <w:sz w:val="22"/>
                <w:szCs w:val="22"/>
              </w:rPr>
              <w:t>Tonnes</w:t>
            </w:r>
          </w:p>
        </w:tc>
        <w:tc>
          <w:tcPr>
            <w:tcW w:w="992" w:type="dxa"/>
            <w:tcBorders>
              <w:top w:val="nil"/>
              <w:left w:val="single" w:sz="2" w:space="0" w:color="000000"/>
              <w:bottom w:val="single" w:sz="2" w:space="0" w:color="000000"/>
              <w:right w:val="nil"/>
            </w:tcBorders>
            <w:hideMark/>
          </w:tcPr>
          <w:p w:rsidR="00A3704C" w:rsidRPr="00EF42AD" w:rsidRDefault="00EF42AD" w:rsidP="00507EB0">
            <w:pPr>
              <w:pStyle w:val="Contenudetableau"/>
              <w:jc w:val="center"/>
              <w:rPr>
                <w:rFonts w:asciiTheme="minorHAnsi" w:hAnsiTheme="minorHAnsi"/>
                <w:sz w:val="22"/>
                <w:szCs w:val="22"/>
              </w:rPr>
            </w:pPr>
            <w:r>
              <w:rPr>
                <w:rFonts w:asciiTheme="minorHAnsi" w:hAnsiTheme="minorHAnsi"/>
                <w:sz w:val="22"/>
                <w:szCs w:val="22"/>
              </w:rPr>
              <w:t>173</w:t>
            </w:r>
            <w:r w:rsidRPr="00EF42AD">
              <w:rPr>
                <w:rFonts w:asciiTheme="minorHAnsi" w:hAnsiTheme="minorHAnsi"/>
                <w:sz w:val="22"/>
                <w:szCs w:val="22"/>
              </w:rPr>
              <w:t xml:space="preserve"> / benne</w:t>
            </w:r>
          </w:p>
        </w:tc>
        <w:tc>
          <w:tcPr>
            <w:tcW w:w="937" w:type="dxa"/>
            <w:tcBorders>
              <w:top w:val="nil"/>
              <w:left w:val="single" w:sz="2" w:space="0" w:color="000000"/>
              <w:bottom w:val="single" w:sz="2" w:space="0" w:color="000000"/>
              <w:right w:val="nil"/>
            </w:tcBorders>
            <w:hideMark/>
          </w:tcPr>
          <w:p w:rsidR="00A3704C" w:rsidRPr="00EF42AD" w:rsidRDefault="00EF42AD" w:rsidP="00507EB0">
            <w:pPr>
              <w:pStyle w:val="Contenudetableau"/>
              <w:jc w:val="center"/>
              <w:rPr>
                <w:rFonts w:asciiTheme="minorHAnsi" w:hAnsiTheme="minorHAnsi"/>
                <w:sz w:val="22"/>
                <w:szCs w:val="22"/>
              </w:rPr>
            </w:pPr>
            <w:r>
              <w:rPr>
                <w:rFonts w:asciiTheme="minorHAnsi" w:hAnsiTheme="minorHAnsi"/>
                <w:sz w:val="22"/>
                <w:szCs w:val="22"/>
              </w:rPr>
              <w:t>93</w:t>
            </w:r>
          </w:p>
        </w:tc>
        <w:tc>
          <w:tcPr>
            <w:tcW w:w="1679" w:type="dxa"/>
            <w:tcBorders>
              <w:top w:val="nil"/>
              <w:left w:val="single" w:sz="2" w:space="0" w:color="000000"/>
              <w:bottom w:val="single" w:sz="2" w:space="0" w:color="000000"/>
              <w:right w:val="single" w:sz="2" w:space="0" w:color="000000"/>
            </w:tcBorders>
            <w:hideMark/>
          </w:tcPr>
          <w:p w:rsidR="00A3704C" w:rsidRPr="00EF42AD" w:rsidRDefault="00EF42AD" w:rsidP="00507EB0">
            <w:pPr>
              <w:pStyle w:val="Contenudetableau"/>
              <w:jc w:val="center"/>
              <w:rPr>
                <w:rFonts w:asciiTheme="minorHAnsi" w:hAnsiTheme="minorHAnsi"/>
                <w:sz w:val="22"/>
                <w:szCs w:val="22"/>
              </w:rPr>
            </w:pPr>
            <w:r>
              <w:rPr>
                <w:rFonts w:asciiTheme="minorHAnsi" w:hAnsiTheme="minorHAnsi"/>
                <w:sz w:val="22"/>
                <w:szCs w:val="22"/>
              </w:rPr>
              <w:t>722</w:t>
            </w:r>
          </w:p>
        </w:tc>
      </w:tr>
      <w:tr w:rsidR="00A3704C" w:rsidRPr="00507EB0" w:rsidTr="00507EB0">
        <w:tc>
          <w:tcPr>
            <w:tcW w:w="7967" w:type="dxa"/>
            <w:gridSpan w:val="5"/>
            <w:tcBorders>
              <w:top w:val="nil"/>
              <w:left w:val="single" w:sz="2" w:space="0" w:color="000000"/>
              <w:bottom w:val="single" w:sz="2" w:space="0" w:color="000000"/>
              <w:right w:val="nil"/>
            </w:tcBorders>
            <w:shd w:val="clear" w:color="auto" w:fill="BFBFBF" w:themeFill="background1" w:themeFillShade="BF"/>
            <w:hideMark/>
          </w:tcPr>
          <w:p w:rsidR="00A3704C" w:rsidRPr="00507EB0" w:rsidRDefault="00A3704C" w:rsidP="00507EB0">
            <w:pPr>
              <w:autoSpaceDE w:val="0"/>
              <w:jc w:val="right"/>
              <w:rPr>
                <w:rFonts w:asciiTheme="minorHAnsi" w:eastAsia="Arial" w:hAnsiTheme="minorHAnsi" w:cs="Arial"/>
                <w:b/>
                <w:color w:val="000000"/>
                <w:sz w:val="22"/>
                <w:szCs w:val="22"/>
              </w:rPr>
            </w:pPr>
            <w:r w:rsidRPr="00507EB0">
              <w:rPr>
                <w:rFonts w:asciiTheme="minorHAnsi" w:eastAsia="Arial" w:hAnsiTheme="minorHAnsi" w:cs="Arial"/>
                <w:b/>
                <w:color w:val="000000"/>
                <w:sz w:val="22"/>
                <w:szCs w:val="22"/>
              </w:rPr>
              <w:t>Total Me</w:t>
            </w:r>
          </w:p>
        </w:tc>
        <w:tc>
          <w:tcPr>
            <w:tcW w:w="1679" w:type="dxa"/>
            <w:tcBorders>
              <w:top w:val="nil"/>
              <w:left w:val="single" w:sz="2" w:space="0" w:color="000000"/>
              <w:bottom w:val="single" w:sz="2" w:space="0" w:color="000000"/>
              <w:right w:val="single" w:sz="2" w:space="0" w:color="000000"/>
            </w:tcBorders>
            <w:shd w:val="clear" w:color="auto" w:fill="BFBFBF" w:themeFill="background1" w:themeFillShade="BF"/>
            <w:hideMark/>
          </w:tcPr>
          <w:p w:rsidR="00A3704C" w:rsidRPr="00507EB0" w:rsidRDefault="00242E2A" w:rsidP="00F81BBB">
            <w:pPr>
              <w:autoSpaceDE w:val="0"/>
              <w:jc w:val="center"/>
              <w:rPr>
                <w:rFonts w:asciiTheme="minorHAnsi" w:eastAsia="Arial" w:hAnsiTheme="minorHAnsi" w:cs="Arial"/>
                <w:b/>
                <w:color w:val="000000"/>
                <w:sz w:val="22"/>
                <w:szCs w:val="22"/>
              </w:rPr>
            </w:pPr>
            <w:r w:rsidRPr="00F81BBB">
              <w:rPr>
                <w:rFonts w:asciiTheme="minorHAnsi" w:eastAsia="Arial" w:hAnsiTheme="minorHAnsi" w:cs="Arial"/>
                <w:b/>
                <w:color w:val="000000"/>
                <w:sz w:val="22"/>
                <w:szCs w:val="22"/>
              </w:rPr>
              <w:t>2</w:t>
            </w:r>
            <w:r w:rsidR="00F81BBB" w:rsidRPr="00F81BBB">
              <w:rPr>
                <w:rFonts w:asciiTheme="minorHAnsi" w:eastAsia="Arial" w:hAnsiTheme="minorHAnsi" w:cs="Arial"/>
                <w:b/>
                <w:color w:val="000000"/>
                <w:sz w:val="22"/>
                <w:szCs w:val="22"/>
              </w:rPr>
              <w:t>82</w:t>
            </w:r>
            <w:r w:rsidRPr="00F81BBB">
              <w:rPr>
                <w:rFonts w:asciiTheme="minorHAnsi" w:eastAsia="Arial" w:hAnsiTheme="minorHAnsi" w:cs="Arial"/>
                <w:b/>
                <w:color w:val="000000"/>
                <w:sz w:val="22"/>
                <w:szCs w:val="22"/>
              </w:rPr>
              <w:t>2</w:t>
            </w:r>
          </w:p>
        </w:tc>
      </w:tr>
    </w:tbl>
    <w:p w:rsidR="00A3704C" w:rsidRDefault="00A3704C" w:rsidP="00A3704C">
      <w:pPr>
        <w:autoSpaceDE w:val="0"/>
      </w:pPr>
    </w:p>
    <w:p w:rsidR="004C6663" w:rsidRPr="00C1031B" w:rsidRDefault="004C6663" w:rsidP="004C6663">
      <w:pPr>
        <w:pStyle w:val="Paragraphedeliste"/>
        <w:numPr>
          <w:ilvl w:val="0"/>
          <w:numId w:val="1"/>
        </w:numPr>
        <w:autoSpaceDE w:val="0"/>
        <w:rPr>
          <w:rFonts w:asciiTheme="minorHAnsi" w:eastAsia="Arial" w:hAnsiTheme="minorHAnsi" w:cstheme="minorHAnsi"/>
          <w:color w:val="000000"/>
          <w:sz w:val="22"/>
          <w:szCs w:val="22"/>
        </w:rPr>
      </w:pPr>
      <w:r w:rsidRPr="00C1031B">
        <w:rPr>
          <w:rFonts w:asciiTheme="minorHAnsi" w:eastAsia="Arial" w:hAnsiTheme="minorHAnsi" w:cstheme="minorHAnsi"/>
          <w:color w:val="000000"/>
          <w:sz w:val="22"/>
          <w:szCs w:val="22"/>
        </w:rPr>
        <w:t>Déchets « textiles » : ceux-ci sont actuellement vendus. Nous compterons un coût 0 tel que le prévoit la réglementation.</w:t>
      </w:r>
    </w:p>
    <w:p w:rsidR="004C6663" w:rsidRPr="00242E2A" w:rsidRDefault="004C6663" w:rsidP="004C6663">
      <w:pPr>
        <w:pStyle w:val="Paragraphedeliste"/>
        <w:numPr>
          <w:ilvl w:val="0"/>
          <w:numId w:val="1"/>
        </w:numPr>
        <w:autoSpaceDE w:val="0"/>
        <w:rPr>
          <w:rFonts w:asciiTheme="minorHAnsi" w:eastAsia="Arial" w:hAnsiTheme="minorHAnsi" w:cstheme="minorHAnsi"/>
          <w:color w:val="000000"/>
          <w:sz w:val="22"/>
          <w:szCs w:val="22"/>
        </w:rPr>
      </w:pPr>
      <w:r w:rsidRPr="00242E2A">
        <w:rPr>
          <w:rFonts w:asciiTheme="minorHAnsi" w:eastAsia="Arial" w:hAnsiTheme="minorHAnsi" w:cstheme="minorHAnsi"/>
          <w:color w:val="000000"/>
          <w:sz w:val="22"/>
          <w:szCs w:val="22"/>
        </w:rPr>
        <w:t xml:space="preserve">Les déchets textiles CSR sont actuellement évacués en tant que Combustible Solide de Récupération (incinération avec valorisation énergétique en cimenterie). </w:t>
      </w:r>
      <w:r w:rsidR="00242E2A" w:rsidRPr="00242E2A">
        <w:rPr>
          <w:rFonts w:asciiTheme="minorHAnsi" w:eastAsia="Arial" w:hAnsiTheme="minorHAnsi" w:cstheme="minorHAnsi"/>
          <w:color w:val="000000"/>
          <w:sz w:val="22"/>
          <w:szCs w:val="22"/>
        </w:rPr>
        <w:t xml:space="preserve">Ces déchets sont déposés directement à l’organisme les traitant, le cout de transport est donc considéré nul et le cout de traitement et de 70€ la tonne, basée sur la facture fournie par RVDS. </w:t>
      </w:r>
      <w:r w:rsidR="00242E2A">
        <w:rPr>
          <w:rFonts w:asciiTheme="minorHAnsi" w:eastAsia="Arial" w:hAnsiTheme="minorHAnsi" w:cstheme="minorHAnsi"/>
          <w:color w:val="000000"/>
          <w:sz w:val="22"/>
          <w:szCs w:val="22"/>
        </w:rPr>
        <w:t xml:space="preserve">Actuellement ils </w:t>
      </w:r>
      <w:r w:rsidR="00242E2A" w:rsidRPr="00242E2A">
        <w:rPr>
          <w:rFonts w:asciiTheme="minorHAnsi" w:eastAsia="Arial" w:hAnsiTheme="minorHAnsi" w:cstheme="minorHAnsi"/>
          <w:color w:val="000000"/>
          <w:sz w:val="22"/>
          <w:szCs w:val="22"/>
        </w:rPr>
        <w:t xml:space="preserve">sont d’une quantité d’environ </w:t>
      </w:r>
      <w:r w:rsidR="00F81BBB">
        <w:rPr>
          <w:rFonts w:asciiTheme="minorHAnsi" w:eastAsia="Arial" w:hAnsiTheme="minorHAnsi" w:cstheme="minorHAnsi"/>
          <w:color w:val="000000"/>
          <w:sz w:val="22"/>
          <w:szCs w:val="22"/>
        </w:rPr>
        <w:t>30</w:t>
      </w:r>
      <w:r w:rsidR="00242E2A" w:rsidRPr="00242E2A">
        <w:rPr>
          <w:rFonts w:asciiTheme="minorHAnsi" w:eastAsia="Arial" w:hAnsiTheme="minorHAnsi" w:cstheme="minorHAnsi"/>
          <w:color w:val="000000"/>
          <w:sz w:val="22"/>
          <w:szCs w:val="22"/>
        </w:rPr>
        <w:t xml:space="preserve"> tonnes/ </w:t>
      </w:r>
      <w:r w:rsidR="00F81BBB">
        <w:rPr>
          <w:rFonts w:asciiTheme="minorHAnsi" w:eastAsia="Arial" w:hAnsiTheme="minorHAnsi" w:cstheme="minorHAnsi"/>
          <w:color w:val="000000"/>
          <w:sz w:val="22"/>
          <w:szCs w:val="22"/>
        </w:rPr>
        <w:t>mois.</w:t>
      </w:r>
    </w:p>
    <w:p w:rsidR="00021A25" w:rsidRPr="00EF42AD" w:rsidRDefault="00EF42AD" w:rsidP="004C6663">
      <w:pPr>
        <w:pStyle w:val="Paragraphedeliste"/>
        <w:numPr>
          <w:ilvl w:val="0"/>
          <w:numId w:val="1"/>
        </w:numPr>
        <w:autoSpaceDE w:val="0"/>
        <w:rPr>
          <w:rFonts w:asciiTheme="minorHAnsi" w:eastAsia="Arial" w:hAnsiTheme="minorHAnsi" w:cstheme="minorHAnsi"/>
          <w:color w:val="000000"/>
          <w:sz w:val="22"/>
          <w:szCs w:val="22"/>
        </w:rPr>
      </w:pPr>
      <w:r w:rsidRPr="00EF42AD">
        <w:rPr>
          <w:rFonts w:asciiTheme="minorHAnsi" w:eastAsia="Arial" w:hAnsiTheme="minorHAnsi" w:cstheme="minorHAnsi"/>
          <w:color w:val="000000"/>
          <w:sz w:val="22"/>
          <w:szCs w:val="22"/>
        </w:rPr>
        <w:t>DIB divers en benne métallique : le cout du transport inclus également les frais de location de la benne et frais de gestion par benne basé sur la facture fournie par RVDS.</w:t>
      </w:r>
    </w:p>
    <w:p w:rsidR="00021A25" w:rsidRPr="00C1031B" w:rsidRDefault="00021A25" w:rsidP="00021A25">
      <w:pPr>
        <w:autoSpaceDE w:val="0"/>
        <w:rPr>
          <w:rFonts w:asciiTheme="minorHAnsi" w:eastAsia="Arial" w:hAnsiTheme="minorHAnsi" w:cstheme="minorHAnsi"/>
          <w:color w:val="000000"/>
          <w:sz w:val="22"/>
          <w:szCs w:val="22"/>
        </w:rPr>
      </w:pPr>
    </w:p>
    <w:p w:rsidR="00A3704C" w:rsidRDefault="00A3704C" w:rsidP="00A3704C">
      <w:pPr>
        <w:autoSpaceDE w:val="0"/>
        <w:rPr>
          <w:rFonts w:ascii="Arial" w:eastAsia="Arial" w:hAnsi="Arial" w:cs="Arial"/>
          <w:color w:val="000000"/>
          <w:sz w:val="22"/>
          <w:szCs w:val="22"/>
        </w:rPr>
      </w:pPr>
    </w:p>
    <w:p w:rsidR="000F6B4A" w:rsidRDefault="000F6B4A">
      <w:pPr>
        <w:widowControl/>
        <w:suppressAutoHyphens w:val="0"/>
        <w:spacing w:after="160" w:line="259" w:lineRule="auto"/>
        <w:rPr>
          <w:rFonts w:ascii="Arial" w:eastAsia="Arial" w:hAnsi="Arial" w:cs="Arial"/>
          <w:color w:val="1F4E79" w:themeColor="accent1" w:themeShade="80"/>
          <w:sz w:val="32"/>
          <w:szCs w:val="32"/>
        </w:rPr>
      </w:pPr>
      <w:r>
        <w:rPr>
          <w:rFonts w:ascii="Arial" w:eastAsia="Arial" w:hAnsi="Arial" w:cs="Arial"/>
          <w:color w:val="1F4E79" w:themeColor="accent1" w:themeShade="80"/>
          <w:sz w:val="32"/>
          <w:szCs w:val="32"/>
        </w:rPr>
        <w:br w:type="page"/>
      </w:r>
    </w:p>
    <w:p w:rsidR="00A3704C" w:rsidRPr="00C34937" w:rsidRDefault="00A3704C" w:rsidP="00A3704C">
      <w:pPr>
        <w:autoSpaceDE w:val="0"/>
        <w:rPr>
          <w:rFonts w:ascii="Arial" w:eastAsia="Arial" w:hAnsi="Arial" w:cs="Arial"/>
          <w:color w:val="1F4E79" w:themeColor="accent1" w:themeShade="80"/>
          <w:sz w:val="32"/>
          <w:szCs w:val="32"/>
        </w:rPr>
      </w:pPr>
      <w:r w:rsidRPr="00C34937">
        <w:rPr>
          <w:rFonts w:ascii="Arial" w:eastAsia="Arial" w:hAnsi="Arial" w:cs="Arial"/>
          <w:color w:val="1F4E79" w:themeColor="accent1" w:themeShade="80"/>
          <w:sz w:val="32"/>
          <w:szCs w:val="32"/>
        </w:rPr>
        <w:lastRenderedPageBreak/>
        <w:t xml:space="preserve">3. Mi : COUTS </w:t>
      </w:r>
      <w:r w:rsidR="00824EC8" w:rsidRPr="00C34937">
        <w:rPr>
          <w:rFonts w:ascii="Arial" w:eastAsia="Arial" w:hAnsi="Arial" w:cs="Arial"/>
          <w:color w:val="1F4E79" w:themeColor="accent1" w:themeShade="80"/>
          <w:sz w:val="32"/>
          <w:szCs w:val="32"/>
        </w:rPr>
        <w:t>DE SUP</w:t>
      </w:r>
      <w:r w:rsidRPr="00C34937">
        <w:rPr>
          <w:rFonts w:ascii="Arial" w:eastAsia="Arial" w:hAnsi="Arial" w:cs="Arial"/>
          <w:color w:val="1F4E79" w:themeColor="accent1" w:themeShade="80"/>
          <w:sz w:val="32"/>
          <w:szCs w:val="32"/>
        </w:rPr>
        <w:t>PRESSION DE RISQUES D’INCENDIE OU D’EXPLOSION, VIDANGE ET INERTAGE DES CUVES ENTERREES DE CARBURANT</w:t>
      </w:r>
    </w:p>
    <w:p w:rsidR="00A3704C" w:rsidRDefault="00A3704C" w:rsidP="00A3704C">
      <w:pPr>
        <w:autoSpaceDE w:val="0"/>
        <w:rPr>
          <w:rFonts w:ascii="Arial" w:eastAsia="Arial" w:hAnsi="Arial" w:cs="Arial"/>
          <w:color w:val="0585A7"/>
          <w:sz w:val="32"/>
          <w:szCs w:val="32"/>
        </w:rPr>
      </w:pPr>
    </w:p>
    <w:p w:rsidR="00A3704C" w:rsidRPr="001A41B5" w:rsidRDefault="00A3704C" w:rsidP="001A41B5">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b/>
          <w:sz w:val="28"/>
          <w:szCs w:val="22"/>
        </w:rPr>
      </w:pPr>
      <w:r w:rsidRPr="001A41B5">
        <w:rPr>
          <w:rFonts w:asciiTheme="minorHAnsi" w:eastAsia="Arial" w:hAnsiTheme="minorHAnsi" w:cs="Arial"/>
          <w:b/>
          <w:sz w:val="28"/>
          <w:szCs w:val="22"/>
        </w:rPr>
        <w:t>Mi = Σ nb cuves Cn + Pb x Vt</w:t>
      </w:r>
    </w:p>
    <w:p w:rsidR="00A3704C" w:rsidRPr="00D60137" w:rsidRDefault="00A3704C" w:rsidP="00A3704C">
      <w:pPr>
        <w:autoSpaceDE w:val="0"/>
        <w:rPr>
          <w:rFonts w:asciiTheme="minorHAnsi" w:eastAsia="Arial" w:hAnsiTheme="minorHAnsi" w:cs="Arial"/>
          <w:color w:val="000000"/>
          <w:sz w:val="22"/>
          <w:szCs w:val="22"/>
        </w:rPr>
      </w:pPr>
    </w:p>
    <w:p w:rsidR="00A3704C" w:rsidRPr="00D60137" w:rsidRDefault="00A3704C" w:rsidP="00A3704C">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Avec</w:t>
      </w:r>
    </w:p>
    <w:p w:rsidR="00A3704C" w:rsidRPr="00D60137" w:rsidRDefault="00A3704C" w:rsidP="00A3704C">
      <w:pPr>
        <w:autoSpaceDE w:val="0"/>
        <w:rPr>
          <w:rFonts w:asciiTheme="minorHAnsi" w:eastAsia="Arial" w:hAnsiTheme="minorHAnsi" w:cs="Arial"/>
          <w:color w:val="000000"/>
          <w:sz w:val="22"/>
          <w:szCs w:val="22"/>
        </w:rPr>
      </w:pPr>
    </w:p>
    <w:tbl>
      <w:tblPr>
        <w:tblStyle w:val="Grilledutableau"/>
        <w:tblW w:w="0" w:type="auto"/>
        <w:jc w:val="center"/>
        <w:tblLook w:val="04A0" w:firstRow="1" w:lastRow="0" w:firstColumn="1" w:lastColumn="0" w:noHBand="0" w:noVBand="1"/>
      </w:tblPr>
      <w:tblGrid>
        <w:gridCol w:w="6799"/>
        <w:gridCol w:w="1418"/>
        <w:gridCol w:w="1695"/>
      </w:tblGrid>
      <w:tr w:rsidR="00A3704C" w:rsidRPr="00D60137" w:rsidTr="00824EC8">
        <w:trPr>
          <w:trHeight w:val="438"/>
          <w:jc w:val="center"/>
        </w:trPr>
        <w:tc>
          <w:tcPr>
            <w:tcW w:w="6799" w:type="dxa"/>
            <w:vAlign w:val="center"/>
          </w:tcPr>
          <w:p w:rsidR="00A3704C" w:rsidRPr="00D60137" w:rsidRDefault="00A3704C" w:rsidP="00824EC8">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C</w:t>
            </w:r>
            <w:r w:rsidR="00824EC8">
              <w:rPr>
                <w:rFonts w:asciiTheme="minorHAnsi" w:eastAsia="Arial" w:hAnsiTheme="minorHAnsi" w:cs="Arial"/>
                <w:color w:val="000000"/>
                <w:sz w:val="22"/>
                <w:szCs w:val="22"/>
              </w:rPr>
              <w:t>N</w:t>
            </w:r>
            <w:r w:rsidRPr="00D60137">
              <w:rPr>
                <w:rFonts w:asciiTheme="minorHAnsi" w:eastAsia="Arial" w:hAnsiTheme="minorHAnsi" w:cs="Arial"/>
                <w:color w:val="000000"/>
                <w:sz w:val="22"/>
                <w:szCs w:val="22"/>
              </w:rPr>
              <w:t xml:space="preserve"> : coût fixe relatif à la préparation </w:t>
            </w:r>
            <w:r w:rsidR="001A41B5">
              <w:rPr>
                <w:rFonts w:asciiTheme="minorHAnsi" w:eastAsia="Arial" w:hAnsiTheme="minorHAnsi" w:cs="Arial"/>
                <w:color w:val="000000"/>
                <w:sz w:val="22"/>
                <w:szCs w:val="22"/>
              </w:rPr>
              <w:t>e</w:t>
            </w:r>
            <w:r w:rsidRPr="00D60137">
              <w:rPr>
                <w:rFonts w:asciiTheme="minorHAnsi" w:eastAsia="Arial" w:hAnsiTheme="minorHAnsi" w:cs="Arial"/>
                <w:color w:val="000000"/>
                <w:sz w:val="22"/>
                <w:szCs w:val="22"/>
              </w:rPr>
              <w:t>t au nettoyage de la cuve</w:t>
            </w:r>
          </w:p>
        </w:tc>
        <w:tc>
          <w:tcPr>
            <w:tcW w:w="1418" w:type="dxa"/>
            <w:vAlign w:val="center"/>
          </w:tcPr>
          <w:p w:rsidR="00A3704C" w:rsidRPr="00D60137" w:rsidRDefault="00824EC8"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2200</w:t>
            </w:r>
          </w:p>
        </w:tc>
        <w:tc>
          <w:tcPr>
            <w:tcW w:w="1695" w:type="dxa"/>
            <w:vAlign w:val="center"/>
          </w:tcPr>
          <w:p w:rsidR="00A3704C" w:rsidRPr="00D60137" w:rsidRDefault="00D60137" w:rsidP="00824EC8">
            <w:pPr>
              <w:autoSpaceDE w:val="0"/>
              <w:rPr>
                <w:rFonts w:asciiTheme="minorHAnsi" w:eastAsia="SimSun" w:hAnsiTheme="minorHAnsi" w:cs="Arial"/>
                <w:color w:val="000000"/>
                <w:sz w:val="22"/>
                <w:szCs w:val="22"/>
              </w:rPr>
            </w:pPr>
            <w:r w:rsidRPr="00D60137">
              <w:rPr>
                <w:rFonts w:asciiTheme="minorHAnsi" w:eastAsia="SimSun" w:hAnsiTheme="minorHAnsi" w:cs="Arial"/>
                <w:color w:val="000000"/>
                <w:sz w:val="22"/>
                <w:szCs w:val="22"/>
              </w:rPr>
              <w:t>€</w:t>
            </w:r>
          </w:p>
        </w:tc>
      </w:tr>
      <w:tr w:rsidR="00A3704C" w:rsidRPr="00D60137" w:rsidTr="00824EC8">
        <w:trPr>
          <w:trHeight w:val="415"/>
          <w:jc w:val="center"/>
        </w:trPr>
        <w:tc>
          <w:tcPr>
            <w:tcW w:w="6799" w:type="dxa"/>
            <w:vAlign w:val="center"/>
          </w:tcPr>
          <w:p w:rsidR="00A3704C" w:rsidRPr="00D60137" w:rsidRDefault="00A3704C" w:rsidP="00824EC8">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P</w:t>
            </w:r>
            <w:r w:rsidR="00824EC8">
              <w:rPr>
                <w:rFonts w:asciiTheme="minorHAnsi" w:eastAsia="Arial" w:hAnsiTheme="minorHAnsi" w:cs="Arial"/>
                <w:color w:val="000000"/>
                <w:sz w:val="22"/>
                <w:szCs w:val="22"/>
              </w:rPr>
              <w:t>B</w:t>
            </w:r>
            <w:r w:rsidRPr="00D60137">
              <w:rPr>
                <w:rFonts w:asciiTheme="minorHAnsi" w:eastAsia="Arial" w:hAnsiTheme="minorHAnsi" w:cs="Arial"/>
                <w:color w:val="000000"/>
                <w:sz w:val="22"/>
                <w:szCs w:val="22"/>
              </w:rPr>
              <w:t> : prix du m3 du remblai liquide inerte (béton)</w:t>
            </w:r>
          </w:p>
        </w:tc>
        <w:tc>
          <w:tcPr>
            <w:tcW w:w="1418" w:type="dxa"/>
            <w:vAlign w:val="center"/>
          </w:tcPr>
          <w:p w:rsidR="00A3704C" w:rsidRPr="00D60137" w:rsidRDefault="00824EC8"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130</w:t>
            </w:r>
          </w:p>
        </w:tc>
        <w:tc>
          <w:tcPr>
            <w:tcW w:w="1695" w:type="dxa"/>
            <w:vAlign w:val="center"/>
          </w:tcPr>
          <w:p w:rsidR="00A3704C" w:rsidRPr="00D60137" w:rsidRDefault="00D60137" w:rsidP="00824EC8">
            <w:pPr>
              <w:autoSpaceDE w:val="0"/>
              <w:rPr>
                <w:rFonts w:asciiTheme="minorHAnsi" w:eastAsia="SimSun" w:hAnsiTheme="minorHAnsi" w:cs="Arial"/>
                <w:color w:val="000000"/>
                <w:sz w:val="22"/>
                <w:szCs w:val="22"/>
              </w:rPr>
            </w:pPr>
            <w:r w:rsidRPr="00D60137">
              <w:rPr>
                <w:rFonts w:asciiTheme="minorHAnsi" w:eastAsia="SimSun" w:hAnsiTheme="minorHAnsi" w:cs="Arial"/>
                <w:color w:val="000000"/>
                <w:sz w:val="22"/>
                <w:szCs w:val="22"/>
              </w:rPr>
              <w:t>€ / m3</w:t>
            </w:r>
          </w:p>
        </w:tc>
      </w:tr>
      <w:tr w:rsidR="00A3704C" w:rsidRPr="00D60137" w:rsidTr="00824EC8">
        <w:trPr>
          <w:trHeight w:val="421"/>
          <w:jc w:val="center"/>
        </w:trPr>
        <w:tc>
          <w:tcPr>
            <w:tcW w:w="6799" w:type="dxa"/>
            <w:vAlign w:val="center"/>
          </w:tcPr>
          <w:p w:rsidR="00A3704C" w:rsidRPr="00D60137" w:rsidRDefault="00A3704C" w:rsidP="00824EC8">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V : volume total de l’ensemble des cuves exprimé en m3</w:t>
            </w:r>
          </w:p>
        </w:tc>
        <w:tc>
          <w:tcPr>
            <w:tcW w:w="1418" w:type="dxa"/>
            <w:vAlign w:val="center"/>
          </w:tcPr>
          <w:p w:rsidR="00A3704C" w:rsidRPr="00D60137" w:rsidRDefault="00824EC8"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0</w:t>
            </w:r>
          </w:p>
        </w:tc>
        <w:tc>
          <w:tcPr>
            <w:tcW w:w="1695" w:type="dxa"/>
            <w:vAlign w:val="center"/>
          </w:tcPr>
          <w:p w:rsidR="00A3704C" w:rsidRPr="00D60137" w:rsidRDefault="001A41B5"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m</w:t>
            </w:r>
            <w:r w:rsidR="00D60137" w:rsidRPr="00D60137">
              <w:rPr>
                <w:rFonts w:asciiTheme="minorHAnsi" w:eastAsia="Arial" w:hAnsiTheme="minorHAnsi" w:cs="Arial"/>
                <w:color w:val="000000"/>
                <w:sz w:val="22"/>
                <w:szCs w:val="22"/>
              </w:rPr>
              <w:t>3</w:t>
            </w:r>
          </w:p>
        </w:tc>
      </w:tr>
      <w:tr w:rsidR="00A3704C" w:rsidRPr="00D60137" w:rsidTr="00824EC8">
        <w:trPr>
          <w:trHeight w:val="414"/>
          <w:jc w:val="center"/>
        </w:trPr>
        <w:tc>
          <w:tcPr>
            <w:tcW w:w="6799" w:type="dxa"/>
            <w:vAlign w:val="center"/>
          </w:tcPr>
          <w:p w:rsidR="00A3704C" w:rsidRPr="00D60137" w:rsidRDefault="00A3704C" w:rsidP="00824EC8">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Nc : Nombre de cuves à traiter</w:t>
            </w:r>
          </w:p>
        </w:tc>
        <w:tc>
          <w:tcPr>
            <w:tcW w:w="1418" w:type="dxa"/>
            <w:vAlign w:val="center"/>
          </w:tcPr>
          <w:p w:rsidR="00A3704C" w:rsidRPr="00D60137" w:rsidRDefault="00824EC8"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0</w:t>
            </w:r>
          </w:p>
        </w:tc>
        <w:tc>
          <w:tcPr>
            <w:tcW w:w="1695" w:type="dxa"/>
            <w:vAlign w:val="center"/>
          </w:tcPr>
          <w:p w:rsidR="00A3704C" w:rsidRPr="00D60137" w:rsidRDefault="00A3704C" w:rsidP="00824EC8">
            <w:pPr>
              <w:autoSpaceDE w:val="0"/>
              <w:rPr>
                <w:rFonts w:asciiTheme="minorHAnsi" w:eastAsia="Arial" w:hAnsiTheme="minorHAnsi" w:cs="Arial"/>
                <w:color w:val="000000"/>
                <w:sz w:val="22"/>
                <w:szCs w:val="22"/>
              </w:rPr>
            </w:pPr>
          </w:p>
        </w:tc>
      </w:tr>
      <w:tr w:rsidR="00D60137" w:rsidRPr="00D60137" w:rsidTr="00824EC8">
        <w:trPr>
          <w:trHeight w:val="420"/>
          <w:jc w:val="center"/>
        </w:trPr>
        <w:tc>
          <w:tcPr>
            <w:tcW w:w="6799" w:type="dxa"/>
            <w:shd w:val="clear" w:color="auto" w:fill="D9D9D9" w:themeFill="background1" w:themeFillShade="D9"/>
            <w:vAlign w:val="center"/>
          </w:tcPr>
          <w:p w:rsidR="00D60137" w:rsidRPr="00824EC8" w:rsidRDefault="001A41B5" w:rsidP="00824EC8">
            <w:pPr>
              <w:autoSpaceDE w:val="0"/>
              <w:jc w:val="right"/>
              <w:rPr>
                <w:rFonts w:asciiTheme="minorHAnsi" w:eastAsia="Arial" w:hAnsiTheme="minorHAnsi" w:cs="Arial"/>
                <w:b/>
                <w:color w:val="000000"/>
                <w:sz w:val="22"/>
                <w:szCs w:val="22"/>
              </w:rPr>
            </w:pPr>
            <w:r w:rsidRPr="00824EC8">
              <w:rPr>
                <w:rFonts w:asciiTheme="minorHAnsi" w:eastAsia="Arial" w:hAnsiTheme="minorHAnsi" w:cs="Arial"/>
                <w:b/>
                <w:color w:val="000000"/>
                <w:sz w:val="22"/>
                <w:szCs w:val="22"/>
              </w:rPr>
              <w:t>TOTAL Mi</w:t>
            </w:r>
          </w:p>
        </w:tc>
        <w:tc>
          <w:tcPr>
            <w:tcW w:w="1418" w:type="dxa"/>
            <w:shd w:val="clear" w:color="auto" w:fill="D9D9D9" w:themeFill="background1" w:themeFillShade="D9"/>
            <w:vAlign w:val="center"/>
          </w:tcPr>
          <w:p w:rsidR="00D60137" w:rsidRPr="00824EC8" w:rsidRDefault="00824EC8" w:rsidP="00824EC8">
            <w:pPr>
              <w:autoSpaceDE w:val="0"/>
              <w:rPr>
                <w:rFonts w:asciiTheme="minorHAnsi" w:eastAsia="Arial" w:hAnsiTheme="minorHAnsi" w:cs="Arial"/>
                <w:b/>
                <w:color w:val="000000"/>
                <w:sz w:val="22"/>
                <w:szCs w:val="22"/>
              </w:rPr>
            </w:pPr>
            <w:r w:rsidRPr="00824EC8">
              <w:rPr>
                <w:rFonts w:asciiTheme="minorHAnsi" w:eastAsia="Arial" w:hAnsiTheme="minorHAnsi" w:cs="Arial"/>
                <w:b/>
                <w:color w:val="000000"/>
                <w:sz w:val="22"/>
                <w:szCs w:val="22"/>
              </w:rPr>
              <w:t>0</w:t>
            </w:r>
          </w:p>
        </w:tc>
        <w:tc>
          <w:tcPr>
            <w:tcW w:w="1695" w:type="dxa"/>
            <w:shd w:val="clear" w:color="auto" w:fill="D9D9D9" w:themeFill="background1" w:themeFillShade="D9"/>
            <w:vAlign w:val="center"/>
          </w:tcPr>
          <w:p w:rsidR="00D60137" w:rsidRPr="00824EC8" w:rsidRDefault="001A41B5" w:rsidP="00824EC8">
            <w:pPr>
              <w:autoSpaceDE w:val="0"/>
              <w:rPr>
                <w:rFonts w:asciiTheme="minorHAnsi" w:eastAsia="Arial" w:hAnsiTheme="minorHAnsi" w:cs="Arial"/>
                <w:b/>
                <w:color w:val="000000"/>
                <w:sz w:val="22"/>
                <w:szCs w:val="22"/>
              </w:rPr>
            </w:pPr>
            <w:r w:rsidRPr="00824EC8">
              <w:rPr>
                <w:rFonts w:asciiTheme="minorHAnsi" w:eastAsia="SimSun" w:hAnsiTheme="minorHAnsi" w:cs="Arial"/>
                <w:b/>
                <w:color w:val="000000"/>
                <w:sz w:val="22"/>
                <w:szCs w:val="22"/>
              </w:rPr>
              <w:t>€</w:t>
            </w:r>
          </w:p>
        </w:tc>
      </w:tr>
    </w:tbl>
    <w:p w:rsidR="00A3704C" w:rsidRDefault="00A3704C" w:rsidP="00A3704C">
      <w:pPr>
        <w:autoSpaceDE w:val="0"/>
        <w:rPr>
          <w:rFonts w:asciiTheme="minorHAnsi" w:eastAsia="Arial" w:hAnsiTheme="minorHAnsi" w:cs="Arial"/>
          <w:color w:val="000000"/>
          <w:sz w:val="22"/>
          <w:szCs w:val="22"/>
        </w:rPr>
      </w:pPr>
    </w:p>
    <w:p w:rsidR="001A41B5" w:rsidRDefault="001F2C85" w:rsidP="00A3704C">
      <w:pPr>
        <w:autoSpaceDE w:val="0"/>
        <w:rPr>
          <w:rFonts w:asciiTheme="minorHAnsi" w:eastAsia="Arial" w:hAnsiTheme="minorHAnsi" w:cs="Arial"/>
          <w:color w:val="000000"/>
          <w:sz w:val="22"/>
          <w:szCs w:val="22"/>
        </w:rPr>
      </w:pPr>
      <w:r w:rsidRPr="001F2C85">
        <w:rPr>
          <w:rFonts w:asciiTheme="minorHAnsi" w:eastAsia="Arial" w:hAnsiTheme="minorHAnsi" w:cs="Arial"/>
          <w:color w:val="000000"/>
          <w:sz w:val="22"/>
          <w:szCs w:val="22"/>
          <w:u w:val="single"/>
        </w:rPr>
        <w:t>Compléments d’informations :</w:t>
      </w:r>
      <w:r>
        <w:rPr>
          <w:rFonts w:asciiTheme="minorHAnsi" w:eastAsia="Arial" w:hAnsiTheme="minorHAnsi" w:cs="Arial"/>
          <w:color w:val="000000"/>
          <w:sz w:val="22"/>
          <w:szCs w:val="22"/>
        </w:rPr>
        <w:t xml:space="preserve"> il n’y a pas de cuve enterrée sur le site.</w:t>
      </w:r>
    </w:p>
    <w:p w:rsidR="00507EB0" w:rsidRPr="00D60137" w:rsidRDefault="00507EB0" w:rsidP="00A3704C">
      <w:pPr>
        <w:autoSpaceDE w:val="0"/>
        <w:rPr>
          <w:rFonts w:asciiTheme="minorHAnsi" w:eastAsia="Arial" w:hAnsiTheme="minorHAnsi" w:cs="Arial"/>
          <w:color w:val="000000"/>
          <w:sz w:val="22"/>
          <w:szCs w:val="22"/>
        </w:rPr>
      </w:pPr>
    </w:p>
    <w:p w:rsidR="00A3704C" w:rsidRDefault="00A3704C" w:rsidP="00A3704C">
      <w:pPr>
        <w:autoSpaceDE w:val="0"/>
        <w:rPr>
          <w:rFonts w:ascii="Arial" w:eastAsia="Arial" w:hAnsi="Arial" w:cs="Arial"/>
          <w:color w:val="000000"/>
          <w:sz w:val="22"/>
          <w:szCs w:val="22"/>
        </w:rPr>
      </w:pPr>
    </w:p>
    <w:p w:rsidR="00E2458F" w:rsidRDefault="00E2458F" w:rsidP="00A3704C">
      <w:pPr>
        <w:autoSpaceDE w:val="0"/>
        <w:rPr>
          <w:rFonts w:ascii="Arial" w:eastAsia="Arial" w:hAnsi="Arial" w:cs="Arial"/>
          <w:color w:val="000000"/>
          <w:sz w:val="22"/>
          <w:szCs w:val="22"/>
        </w:rPr>
      </w:pPr>
    </w:p>
    <w:p w:rsidR="00E2458F" w:rsidRPr="002A068F" w:rsidRDefault="00E2458F" w:rsidP="00A3704C">
      <w:pPr>
        <w:autoSpaceDE w:val="0"/>
        <w:rPr>
          <w:rFonts w:ascii="Arial" w:eastAsia="Arial" w:hAnsi="Arial" w:cs="Arial"/>
          <w:color w:val="000000"/>
          <w:sz w:val="22"/>
          <w:szCs w:val="22"/>
        </w:rPr>
      </w:pPr>
    </w:p>
    <w:p w:rsidR="001A41B5" w:rsidRPr="00C34937" w:rsidRDefault="001A41B5" w:rsidP="001A41B5">
      <w:pPr>
        <w:autoSpaceDE w:val="0"/>
        <w:rPr>
          <w:rFonts w:ascii="Arial" w:eastAsia="Arial" w:hAnsi="Arial" w:cs="Arial"/>
          <w:color w:val="1F4E79" w:themeColor="accent1" w:themeShade="80"/>
          <w:sz w:val="32"/>
          <w:szCs w:val="32"/>
        </w:rPr>
      </w:pPr>
      <w:r w:rsidRPr="00C34937">
        <w:rPr>
          <w:rFonts w:ascii="Arial" w:eastAsia="Arial" w:hAnsi="Arial" w:cs="Arial"/>
          <w:color w:val="1F4E79" w:themeColor="accent1" w:themeShade="80"/>
          <w:sz w:val="32"/>
          <w:szCs w:val="32"/>
        </w:rPr>
        <w:t>4.</w:t>
      </w:r>
      <w:r w:rsidR="00824EC8" w:rsidRPr="00C34937">
        <w:rPr>
          <w:rFonts w:ascii="Arial" w:eastAsia="Arial" w:hAnsi="Arial" w:cs="Arial"/>
          <w:color w:val="1F4E79" w:themeColor="accent1" w:themeShade="80"/>
          <w:sz w:val="32"/>
          <w:szCs w:val="32"/>
        </w:rPr>
        <w:t xml:space="preserve"> MC</w:t>
      </w:r>
      <w:r w:rsidRPr="00C34937">
        <w:rPr>
          <w:rFonts w:ascii="Arial" w:eastAsia="Arial" w:hAnsi="Arial" w:cs="Arial"/>
          <w:color w:val="1F4E79" w:themeColor="accent1" w:themeShade="80"/>
          <w:sz w:val="32"/>
          <w:szCs w:val="32"/>
        </w:rPr>
        <w:t xml:space="preserve"> : COUTS D’INTERDICTION OU DE LIMITATION D’ACCES AU SITE (CLOTURE + PANNEAUX)</w:t>
      </w:r>
    </w:p>
    <w:p w:rsidR="001A41B5" w:rsidRDefault="001A41B5" w:rsidP="001A41B5">
      <w:pPr>
        <w:autoSpaceDE w:val="0"/>
        <w:rPr>
          <w:rFonts w:ascii="Arial" w:eastAsia="Arial" w:hAnsi="Arial" w:cs="Arial"/>
          <w:color w:val="0585A7"/>
          <w:sz w:val="32"/>
          <w:szCs w:val="32"/>
        </w:rPr>
      </w:pPr>
    </w:p>
    <w:p w:rsidR="001A41B5" w:rsidRPr="00824EC8" w:rsidRDefault="001A41B5" w:rsidP="001A41B5">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b/>
          <w:sz w:val="28"/>
          <w:szCs w:val="22"/>
          <w:lang w:val="en-US"/>
        </w:rPr>
      </w:pPr>
      <w:r w:rsidRPr="00824EC8">
        <w:rPr>
          <w:rFonts w:asciiTheme="minorHAnsi" w:eastAsia="Arial" w:hAnsiTheme="minorHAnsi" w:cs="Arial"/>
          <w:b/>
          <w:sz w:val="28"/>
          <w:szCs w:val="22"/>
          <w:lang w:val="en-US"/>
        </w:rPr>
        <w:t>M</w:t>
      </w:r>
      <w:r w:rsidR="00824EC8" w:rsidRPr="00824EC8">
        <w:rPr>
          <w:rFonts w:asciiTheme="minorHAnsi" w:eastAsia="Arial" w:hAnsiTheme="minorHAnsi" w:cs="Arial"/>
          <w:b/>
          <w:sz w:val="28"/>
          <w:szCs w:val="22"/>
          <w:lang w:val="en-US"/>
        </w:rPr>
        <w:t>C</w:t>
      </w:r>
      <w:r w:rsidRPr="00824EC8">
        <w:rPr>
          <w:rFonts w:asciiTheme="minorHAnsi" w:eastAsia="Arial" w:hAnsiTheme="minorHAnsi" w:cs="Arial"/>
          <w:b/>
          <w:sz w:val="28"/>
          <w:szCs w:val="22"/>
          <w:lang w:val="en-US"/>
        </w:rPr>
        <w:t xml:space="preserve"> = P x Cc + np x Pp</w:t>
      </w:r>
    </w:p>
    <w:p w:rsidR="001A41B5" w:rsidRDefault="001A41B5" w:rsidP="001A41B5">
      <w:pPr>
        <w:autoSpaceDE w:val="0"/>
        <w:rPr>
          <w:rFonts w:ascii="Arial" w:eastAsia="Arial" w:hAnsi="Arial" w:cs="Arial"/>
          <w:color w:val="0585A7"/>
          <w:sz w:val="32"/>
          <w:szCs w:val="32"/>
          <w:lang w:val="en-US"/>
        </w:rPr>
      </w:pPr>
    </w:p>
    <w:p w:rsidR="001A41B5" w:rsidRPr="00D60137" w:rsidRDefault="001A41B5" w:rsidP="001A41B5">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Avec</w:t>
      </w:r>
    </w:p>
    <w:p w:rsidR="001A41B5" w:rsidRPr="00D60137" w:rsidRDefault="001A41B5" w:rsidP="001A41B5">
      <w:pPr>
        <w:autoSpaceDE w:val="0"/>
        <w:rPr>
          <w:rFonts w:asciiTheme="minorHAnsi" w:eastAsia="Arial" w:hAnsiTheme="minorHAnsi" w:cs="Arial"/>
          <w:color w:val="000000"/>
          <w:sz w:val="22"/>
          <w:szCs w:val="22"/>
        </w:rPr>
      </w:pPr>
    </w:p>
    <w:tbl>
      <w:tblPr>
        <w:tblStyle w:val="Grilledutableau"/>
        <w:tblW w:w="0" w:type="auto"/>
        <w:tblLook w:val="04A0" w:firstRow="1" w:lastRow="0" w:firstColumn="1" w:lastColumn="0" w:noHBand="0" w:noVBand="1"/>
      </w:tblPr>
      <w:tblGrid>
        <w:gridCol w:w="6799"/>
        <w:gridCol w:w="1418"/>
        <w:gridCol w:w="1695"/>
      </w:tblGrid>
      <w:tr w:rsidR="001A41B5" w:rsidRPr="00D60137" w:rsidTr="000B2606">
        <w:trPr>
          <w:trHeight w:val="438"/>
        </w:trPr>
        <w:tc>
          <w:tcPr>
            <w:tcW w:w="6799" w:type="dxa"/>
          </w:tcPr>
          <w:p w:rsidR="001A41B5" w:rsidRPr="00D60137" w:rsidRDefault="001A41B5"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P (en mètres) : périmètre de la parcelle occu</w:t>
            </w:r>
            <w:r w:rsidR="00E0320A">
              <w:rPr>
                <w:rFonts w:asciiTheme="minorHAnsi" w:eastAsia="Arial" w:hAnsiTheme="minorHAnsi" w:cs="Arial"/>
                <w:color w:val="000000"/>
                <w:sz w:val="22"/>
                <w:szCs w:val="22"/>
              </w:rPr>
              <w:t>p</w:t>
            </w:r>
            <w:r>
              <w:rPr>
                <w:rFonts w:asciiTheme="minorHAnsi" w:eastAsia="Arial" w:hAnsiTheme="minorHAnsi" w:cs="Arial"/>
                <w:color w:val="000000"/>
                <w:sz w:val="22"/>
                <w:szCs w:val="22"/>
              </w:rPr>
              <w:t>ée par l’installation classée et ses équipements connexes</w:t>
            </w:r>
          </w:p>
        </w:tc>
        <w:tc>
          <w:tcPr>
            <w:tcW w:w="1418" w:type="dxa"/>
          </w:tcPr>
          <w:p w:rsidR="001A41B5" w:rsidRPr="00D60137" w:rsidRDefault="00E2458F"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400</w:t>
            </w:r>
          </w:p>
        </w:tc>
        <w:tc>
          <w:tcPr>
            <w:tcW w:w="1695" w:type="dxa"/>
          </w:tcPr>
          <w:p w:rsidR="001A41B5" w:rsidRPr="00D60137" w:rsidRDefault="001A41B5" w:rsidP="001F2C85">
            <w:pPr>
              <w:autoSpaceDE w:val="0"/>
              <w:jc w:val="center"/>
              <w:rPr>
                <w:rFonts w:asciiTheme="minorHAnsi" w:eastAsia="SimSun" w:hAnsiTheme="minorHAnsi" w:cs="Arial"/>
                <w:color w:val="000000"/>
                <w:sz w:val="22"/>
                <w:szCs w:val="22"/>
              </w:rPr>
            </w:pPr>
            <w:r>
              <w:rPr>
                <w:rFonts w:asciiTheme="minorHAnsi" w:eastAsia="SimSun" w:hAnsiTheme="minorHAnsi" w:cs="Arial"/>
                <w:color w:val="000000"/>
                <w:sz w:val="22"/>
                <w:szCs w:val="22"/>
              </w:rPr>
              <w:t>m</w:t>
            </w:r>
          </w:p>
        </w:tc>
      </w:tr>
      <w:tr w:rsidR="001A41B5" w:rsidRPr="00D60137" w:rsidTr="000B2606">
        <w:trPr>
          <w:trHeight w:val="415"/>
        </w:trPr>
        <w:tc>
          <w:tcPr>
            <w:tcW w:w="6799" w:type="dxa"/>
          </w:tcPr>
          <w:p w:rsidR="001A41B5" w:rsidRPr="00D60137" w:rsidRDefault="00824EC8"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CC</w:t>
            </w:r>
            <w:r w:rsidR="001A41B5">
              <w:rPr>
                <w:rFonts w:asciiTheme="minorHAnsi" w:eastAsia="Arial" w:hAnsiTheme="minorHAnsi" w:cs="Arial"/>
                <w:color w:val="000000"/>
                <w:sz w:val="22"/>
                <w:szCs w:val="22"/>
              </w:rPr>
              <w:t> : Coût du linéaire de clôture</w:t>
            </w:r>
          </w:p>
        </w:tc>
        <w:tc>
          <w:tcPr>
            <w:tcW w:w="1418" w:type="dxa"/>
          </w:tcPr>
          <w:p w:rsidR="001A41B5" w:rsidRPr="00D60137" w:rsidRDefault="001A41B5"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50</w:t>
            </w:r>
          </w:p>
        </w:tc>
        <w:tc>
          <w:tcPr>
            <w:tcW w:w="1695" w:type="dxa"/>
          </w:tcPr>
          <w:p w:rsidR="001A41B5" w:rsidRPr="00D60137" w:rsidRDefault="001A41B5" w:rsidP="001F2C85">
            <w:pPr>
              <w:autoSpaceDE w:val="0"/>
              <w:jc w:val="center"/>
              <w:rPr>
                <w:rFonts w:asciiTheme="minorHAnsi" w:eastAsia="SimSun" w:hAnsiTheme="minorHAnsi" w:cs="Arial"/>
                <w:color w:val="000000"/>
                <w:sz w:val="22"/>
                <w:szCs w:val="22"/>
              </w:rPr>
            </w:pPr>
            <w:r>
              <w:rPr>
                <w:rFonts w:asciiTheme="minorHAnsi" w:eastAsia="SimSun" w:hAnsiTheme="minorHAnsi" w:cs="Arial"/>
                <w:color w:val="000000"/>
                <w:sz w:val="22"/>
                <w:szCs w:val="22"/>
              </w:rPr>
              <w:t>€/m</w:t>
            </w:r>
          </w:p>
        </w:tc>
      </w:tr>
      <w:tr w:rsidR="001A41B5" w:rsidRPr="00D60137" w:rsidTr="000B2606">
        <w:trPr>
          <w:trHeight w:val="421"/>
        </w:trPr>
        <w:tc>
          <w:tcPr>
            <w:tcW w:w="6799" w:type="dxa"/>
          </w:tcPr>
          <w:p w:rsidR="001A41B5" w:rsidRPr="00D60137" w:rsidRDefault="001A41B5"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Nombre d’entrées du site</w:t>
            </w:r>
          </w:p>
        </w:tc>
        <w:tc>
          <w:tcPr>
            <w:tcW w:w="1418" w:type="dxa"/>
          </w:tcPr>
          <w:p w:rsidR="001A41B5" w:rsidRPr="00D60137" w:rsidRDefault="00E2458F"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2</w:t>
            </w:r>
          </w:p>
        </w:tc>
        <w:tc>
          <w:tcPr>
            <w:tcW w:w="1695" w:type="dxa"/>
          </w:tcPr>
          <w:p w:rsidR="001A41B5" w:rsidRPr="00D60137" w:rsidRDefault="001A41B5" w:rsidP="001F2C85">
            <w:pPr>
              <w:autoSpaceDE w:val="0"/>
              <w:jc w:val="center"/>
              <w:rPr>
                <w:rFonts w:asciiTheme="minorHAnsi" w:eastAsia="Arial" w:hAnsiTheme="minorHAnsi" w:cs="Arial"/>
                <w:color w:val="000000"/>
                <w:sz w:val="22"/>
                <w:szCs w:val="22"/>
              </w:rPr>
            </w:pPr>
          </w:p>
        </w:tc>
      </w:tr>
      <w:tr w:rsidR="001A41B5" w:rsidRPr="00D60137" w:rsidTr="000B2606">
        <w:trPr>
          <w:trHeight w:val="414"/>
        </w:trPr>
        <w:tc>
          <w:tcPr>
            <w:tcW w:w="6799" w:type="dxa"/>
          </w:tcPr>
          <w:p w:rsidR="001A41B5" w:rsidRPr="00D60137" w:rsidRDefault="00824EC8"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nP</w:t>
            </w:r>
            <w:r w:rsidR="001A41B5">
              <w:rPr>
                <w:rFonts w:asciiTheme="minorHAnsi" w:eastAsia="Arial" w:hAnsiTheme="minorHAnsi" w:cs="Arial"/>
                <w:color w:val="000000"/>
                <w:sz w:val="22"/>
                <w:szCs w:val="22"/>
              </w:rPr>
              <w:t> : nombre d</w:t>
            </w:r>
            <w:r w:rsidR="00E2458F">
              <w:rPr>
                <w:rFonts w:asciiTheme="minorHAnsi" w:eastAsia="Arial" w:hAnsiTheme="minorHAnsi" w:cs="Arial"/>
                <w:color w:val="000000"/>
                <w:sz w:val="22"/>
                <w:szCs w:val="22"/>
              </w:rPr>
              <w:t>e</w:t>
            </w:r>
            <w:r w:rsidR="001A41B5">
              <w:rPr>
                <w:rFonts w:asciiTheme="minorHAnsi" w:eastAsia="Arial" w:hAnsiTheme="minorHAnsi" w:cs="Arial"/>
                <w:color w:val="000000"/>
                <w:sz w:val="22"/>
                <w:szCs w:val="22"/>
              </w:rPr>
              <w:t xml:space="preserve"> panneaux de restriction d’accès au lieu (np = nombre entrées du site + P/50)</w:t>
            </w:r>
          </w:p>
        </w:tc>
        <w:tc>
          <w:tcPr>
            <w:tcW w:w="1418" w:type="dxa"/>
          </w:tcPr>
          <w:p w:rsidR="001A41B5" w:rsidRPr="00D60137" w:rsidRDefault="00E2458F"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10</w:t>
            </w:r>
          </w:p>
        </w:tc>
        <w:tc>
          <w:tcPr>
            <w:tcW w:w="1695" w:type="dxa"/>
          </w:tcPr>
          <w:p w:rsidR="001A41B5" w:rsidRPr="00D60137" w:rsidRDefault="001A41B5" w:rsidP="001F2C85">
            <w:pPr>
              <w:autoSpaceDE w:val="0"/>
              <w:jc w:val="center"/>
              <w:rPr>
                <w:rFonts w:asciiTheme="minorHAnsi" w:eastAsia="Arial" w:hAnsiTheme="minorHAnsi" w:cs="Arial"/>
                <w:color w:val="000000"/>
                <w:sz w:val="22"/>
                <w:szCs w:val="22"/>
              </w:rPr>
            </w:pPr>
          </w:p>
        </w:tc>
      </w:tr>
      <w:tr w:rsidR="001A41B5" w:rsidRPr="00D60137" w:rsidTr="000B2606">
        <w:trPr>
          <w:trHeight w:val="420"/>
        </w:trPr>
        <w:tc>
          <w:tcPr>
            <w:tcW w:w="6799" w:type="dxa"/>
          </w:tcPr>
          <w:p w:rsidR="001A41B5" w:rsidRPr="00D60137" w:rsidRDefault="00824EC8"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PP</w:t>
            </w:r>
            <w:r w:rsidR="001A41B5">
              <w:rPr>
                <w:rFonts w:asciiTheme="minorHAnsi" w:eastAsia="Arial" w:hAnsiTheme="minorHAnsi" w:cs="Arial"/>
                <w:color w:val="000000"/>
                <w:sz w:val="22"/>
                <w:szCs w:val="22"/>
              </w:rPr>
              <w:t xml:space="preserve"> = prix d’un panneau</w:t>
            </w:r>
          </w:p>
        </w:tc>
        <w:tc>
          <w:tcPr>
            <w:tcW w:w="1418" w:type="dxa"/>
          </w:tcPr>
          <w:p w:rsidR="001A41B5" w:rsidRPr="00D60137" w:rsidRDefault="001A41B5"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15</w:t>
            </w:r>
          </w:p>
        </w:tc>
        <w:tc>
          <w:tcPr>
            <w:tcW w:w="1695" w:type="dxa"/>
          </w:tcPr>
          <w:p w:rsidR="001A41B5" w:rsidRPr="00D60137" w:rsidRDefault="001A41B5" w:rsidP="001F2C85">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w:t>
            </w:r>
          </w:p>
        </w:tc>
      </w:tr>
      <w:tr w:rsidR="001A41B5" w:rsidRPr="001F2C85" w:rsidTr="004C6663">
        <w:trPr>
          <w:trHeight w:val="420"/>
        </w:trPr>
        <w:tc>
          <w:tcPr>
            <w:tcW w:w="6799" w:type="dxa"/>
            <w:shd w:val="clear" w:color="auto" w:fill="BFBFBF" w:themeFill="background1" w:themeFillShade="BF"/>
            <w:vAlign w:val="center"/>
          </w:tcPr>
          <w:p w:rsidR="001A41B5" w:rsidRPr="001F2C85" w:rsidRDefault="001A41B5" w:rsidP="001F2C85">
            <w:pPr>
              <w:autoSpaceDE w:val="0"/>
              <w:jc w:val="right"/>
              <w:rPr>
                <w:rFonts w:asciiTheme="minorHAnsi" w:eastAsia="Arial" w:hAnsiTheme="minorHAnsi" w:cs="Arial"/>
                <w:b/>
                <w:color w:val="000000"/>
                <w:sz w:val="22"/>
                <w:szCs w:val="22"/>
              </w:rPr>
            </w:pPr>
            <w:r w:rsidRPr="001F2C85">
              <w:rPr>
                <w:rFonts w:asciiTheme="minorHAnsi" w:eastAsia="Arial" w:hAnsiTheme="minorHAnsi" w:cs="Arial"/>
                <w:b/>
                <w:color w:val="000000"/>
                <w:sz w:val="22"/>
                <w:szCs w:val="22"/>
              </w:rPr>
              <w:t>TOTAL Mc</w:t>
            </w:r>
          </w:p>
        </w:tc>
        <w:tc>
          <w:tcPr>
            <w:tcW w:w="1418" w:type="dxa"/>
            <w:shd w:val="clear" w:color="auto" w:fill="BFBFBF" w:themeFill="background1" w:themeFillShade="BF"/>
            <w:vAlign w:val="center"/>
          </w:tcPr>
          <w:p w:rsidR="001A41B5" w:rsidRPr="001F2C85" w:rsidRDefault="00E2458F" w:rsidP="001F2C85">
            <w:pPr>
              <w:autoSpaceDE w:val="0"/>
              <w:jc w:val="center"/>
              <w:rPr>
                <w:rFonts w:asciiTheme="minorHAnsi" w:eastAsia="Arial" w:hAnsiTheme="minorHAnsi" w:cs="Arial"/>
                <w:b/>
                <w:color w:val="000000"/>
                <w:sz w:val="22"/>
                <w:szCs w:val="22"/>
              </w:rPr>
            </w:pPr>
            <w:r>
              <w:rPr>
                <w:rFonts w:asciiTheme="minorHAnsi" w:eastAsia="Arial" w:hAnsiTheme="minorHAnsi" w:cs="Arial"/>
                <w:b/>
                <w:color w:val="000000"/>
                <w:sz w:val="22"/>
                <w:szCs w:val="22"/>
              </w:rPr>
              <w:t>150</w:t>
            </w:r>
          </w:p>
        </w:tc>
        <w:tc>
          <w:tcPr>
            <w:tcW w:w="1695" w:type="dxa"/>
            <w:shd w:val="clear" w:color="auto" w:fill="BFBFBF" w:themeFill="background1" w:themeFillShade="BF"/>
            <w:vAlign w:val="center"/>
          </w:tcPr>
          <w:p w:rsidR="001A41B5" w:rsidRPr="001F2C85" w:rsidRDefault="001A41B5" w:rsidP="001F2C85">
            <w:pPr>
              <w:autoSpaceDE w:val="0"/>
              <w:jc w:val="center"/>
              <w:rPr>
                <w:rFonts w:asciiTheme="minorHAnsi" w:eastAsia="Arial" w:hAnsiTheme="minorHAnsi" w:cs="Arial"/>
                <w:b/>
                <w:color w:val="000000"/>
                <w:sz w:val="22"/>
                <w:szCs w:val="22"/>
              </w:rPr>
            </w:pPr>
            <w:r w:rsidRPr="001F2C85">
              <w:rPr>
                <w:rFonts w:asciiTheme="minorHAnsi" w:eastAsia="Arial" w:hAnsiTheme="minorHAnsi" w:cs="Arial"/>
                <w:b/>
                <w:color w:val="000000"/>
                <w:sz w:val="22"/>
                <w:szCs w:val="22"/>
              </w:rPr>
              <w:t>€</w:t>
            </w:r>
          </w:p>
        </w:tc>
      </w:tr>
    </w:tbl>
    <w:p w:rsidR="001A41B5" w:rsidRDefault="001A41B5" w:rsidP="00A3704C">
      <w:pPr>
        <w:autoSpaceDE w:val="0"/>
        <w:rPr>
          <w:rFonts w:asciiTheme="minorHAnsi" w:hAnsiTheme="minorHAnsi"/>
          <w:sz w:val="22"/>
          <w:szCs w:val="22"/>
        </w:rPr>
      </w:pPr>
    </w:p>
    <w:p w:rsidR="001A41B5" w:rsidRDefault="001F2C85" w:rsidP="00A3704C">
      <w:pPr>
        <w:autoSpaceDE w:val="0"/>
        <w:rPr>
          <w:rFonts w:asciiTheme="minorHAnsi" w:eastAsia="Arial" w:hAnsiTheme="minorHAnsi" w:cs="Arial"/>
          <w:color w:val="000000"/>
          <w:sz w:val="22"/>
          <w:szCs w:val="22"/>
          <w:u w:val="single"/>
        </w:rPr>
      </w:pPr>
      <w:r w:rsidRPr="001F2C85">
        <w:rPr>
          <w:rFonts w:asciiTheme="minorHAnsi" w:eastAsia="Arial" w:hAnsiTheme="minorHAnsi" w:cs="Arial"/>
          <w:color w:val="000000"/>
          <w:sz w:val="22"/>
          <w:szCs w:val="22"/>
          <w:u w:val="single"/>
        </w:rPr>
        <w:t>Compléments d’informations</w:t>
      </w:r>
      <w:r w:rsidRPr="001F2C85">
        <w:rPr>
          <w:rFonts w:asciiTheme="minorHAnsi" w:eastAsia="Arial" w:hAnsiTheme="minorHAnsi" w:cs="Arial"/>
          <w:color w:val="000000"/>
          <w:sz w:val="22"/>
          <w:szCs w:val="22"/>
        </w:rPr>
        <w:t xml:space="preserve"> : Le site est d’</w:t>
      </w:r>
      <w:r>
        <w:rPr>
          <w:rFonts w:asciiTheme="minorHAnsi" w:eastAsia="Arial" w:hAnsiTheme="minorHAnsi" w:cs="Arial"/>
          <w:color w:val="000000"/>
          <w:sz w:val="22"/>
          <w:szCs w:val="22"/>
        </w:rPr>
        <w:t>or</w:t>
      </w:r>
      <w:r w:rsidR="004C6663">
        <w:rPr>
          <w:rFonts w:asciiTheme="minorHAnsi" w:eastAsia="Arial" w:hAnsiTheme="minorHAnsi" w:cs="Arial"/>
          <w:color w:val="000000"/>
          <w:sz w:val="22"/>
          <w:szCs w:val="22"/>
        </w:rPr>
        <w:t>e</w:t>
      </w:r>
      <w:r>
        <w:rPr>
          <w:rFonts w:asciiTheme="minorHAnsi" w:eastAsia="Arial" w:hAnsiTheme="minorHAnsi" w:cs="Arial"/>
          <w:color w:val="000000"/>
          <w:sz w:val="22"/>
          <w:szCs w:val="22"/>
        </w:rPr>
        <w:t>s et déjà entièrement clôturé.</w:t>
      </w:r>
    </w:p>
    <w:p w:rsidR="001F2C85" w:rsidRDefault="001F2C85" w:rsidP="00A3704C">
      <w:pPr>
        <w:autoSpaceDE w:val="0"/>
        <w:rPr>
          <w:rFonts w:asciiTheme="minorHAnsi" w:hAnsiTheme="minorHAnsi"/>
          <w:sz w:val="22"/>
          <w:szCs w:val="22"/>
        </w:rPr>
      </w:pPr>
    </w:p>
    <w:p w:rsidR="000F6B4A" w:rsidRDefault="000F6B4A">
      <w:pPr>
        <w:widowControl/>
        <w:suppressAutoHyphens w:val="0"/>
        <w:spacing w:after="160" w:line="259" w:lineRule="auto"/>
        <w:rPr>
          <w:rFonts w:ascii="Arial" w:eastAsia="Arial" w:hAnsi="Arial" w:cs="Arial"/>
          <w:color w:val="1F4E79" w:themeColor="accent1" w:themeShade="80"/>
          <w:sz w:val="32"/>
          <w:szCs w:val="32"/>
        </w:rPr>
      </w:pPr>
      <w:r>
        <w:rPr>
          <w:rFonts w:ascii="Arial" w:eastAsia="Arial" w:hAnsi="Arial" w:cs="Arial"/>
          <w:color w:val="1F4E79" w:themeColor="accent1" w:themeShade="80"/>
          <w:sz w:val="32"/>
          <w:szCs w:val="32"/>
        </w:rPr>
        <w:br w:type="page"/>
      </w:r>
    </w:p>
    <w:p w:rsidR="001A41B5" w:rsidRPr="00EE35C9" w:rsidRDefault="002F1F3C" w:rsidP="001A41B5">
      <w:pPr>
        <w:autoSpaceDE w:val="0"/>
        <w:rPr>
          <w:rFonts w:ascii="Arial" w:eastAsia="Arial" w:hAnsi="Arial" w:cs="Arial"/>
          <w:color w:val="1F4E79" w:themeColor="accent1" w:themeShade="80"/>
          <w:sz w:val="32"/>
          <w:szCs w:val="32"/>
        </w:rPr>
      </w:pPr>
      <w:r>
        <w:rPr>
          <w:rFonts w:ascii="Arial" w:eastAsia="Arial" w:hAnsi="Arial" w:cs="Arial"/>
          <w:color w:val="1F4E79" w:themeColor="accent1" w:themeShade="80"/>
          <w:sz w:val="32"/>
          <w:szCs w:val="32"/>
        </w:rPr>
        <w:lastRenderedPageBreak/>
        <w:t>5</w:t>
      </w:r>
      <w:r w:rsidR="001A41B5" w:rsidRPr="00EE35C9">
        <w:rPr>
          <w:rFonts w:ascii="Arial" w:eastAsia="Arial" w:hAnsi="Arial" w:cs="Arial"/>
          <w:color w:val="1F4E79" w:themeColor="accent1" w:themeShade="80"/>
          <w:sz w:val="32"/>
          <w:szCs w:val="32"/>
        </w:rPr>
        <w:t>. Ms : COUTS DE SURVEILLANCE DES EFFETS DE L’INSTALLATION SUR SON ENVIRONNEMENT (PIEZOMETRES / ANALYSE QUALITE DES EAUX)</w:t>
      </w:r>
    </w:p>
    <w:p w:rsidR="001A41B5" w:rsidRDefault="001A41B5" w:rsidP="001A41B5">
      <w:pPr>
        <w:autoSpaceDE w:val="0"/>
        <w:rPr>
          <w:rFonts w:ascii="Arial" w:eastAsia="Arial" w:hAnsi="Arial" w:cs="Arial"/>
          <w:color w:val="0585A7"/>
          <w:sz w:val="32"/>
          <w:szCs w:val="32"/>
        </w:rPr>
      </w:pPr>
    </w:p>
    <w:p w:rsidR="001A41B5" w:rsidRPr="00824EC8" w:rsidRDefault="001A41B5" w:rsidP="001A41B5">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b/>
          <w:sz w:val="28"/>
          <w:szCs w:val="22"/>
          <w:lang w:val="en-US"/>
        </w:rPr>
      </w:pPr>
      <w:r w:rsidRPr="00824EC8">
        <w:rPr>
          <w:rFonts w:asciiTheme="minorHAnsi" w:eastAsia="Arial" w:hAnsiTheme="minorHAnsi" w:cs="Arial"/>
          <w:b/>
          <w:sz w:val="28"/>
          <w:szCs w:val="22"/>
          <w:lang w:val="en-US"/>
        </w:rPr>
        <w:t xml:space="preserve">Ms </w:t>
      </w:r>
      <w:r w:rsidR="00824EC8" w:rsidRPr="00824EC8">
        <w:rPr>
          <w:rFonts w:asciiTheme="minorHAnsi" w:eastAsia="Arial" w:hAnsiTheme="minorHAnsi" w:cs="Arial"/>
          <w:b/>
          <w:sz w:val="28"/>
          <w:szCs w:val="22"/>
          <w:lang w:val="en-US"/>
        </w:rPr>
        <w:t xml:space="preserve">= NP x (CP </w:t>
      </w:r>
      <w:r w:rsidRPr="00824EC8">
        <w:rPr>
          <w:rFonts w:asciiTheme="minorHAnsi" w:eastAsia="Arial" w:hAnsiTheme="minorHAnsi" w:cs="Arial"/>
          <w:b/>
          <w:sz w:val="28"/>
          <w:szCs w:val="22"/>
          <w:lang w:val="en-US"/>
        </w:rPr>
        <w:t>x h + C) + C</w:t>
      </w:r>
      <w:r w:rsidR="00824EC8">
        <w:rPr>
          <w:rFonts w:asciiTheme="minorHAnsi" w:eastAsia="Arial" w:hAnsiTheme="minorHAnsi" w:cs="Arial"/>
          <w:b/>
          <w:sz w:val="28"/>
          <w:szCs w:val="22"/>
          <w:lang w:val="en-US"/>
        </w:rPr>
        <w:t>D</w:t>
      </w:r>
    </w:p>
    <w:p w:rsidR="001A41B5" w:rsidRDefault="001A41B5" w:rsidP="001A41B5">
      <w:pPr>
        <w:autoSpaceDE w:val="0"/>
        <w:rPr>
          <w:rFonts w:ascii="Arial" w:eastAsia="Arial" w:hAnsi="Arial" w:cs="Arial"/>
          <w:color w:val="0585A7"/>
          <w:sz w:val="32"/>
          <w:szCs w:val="32"/>
          <w:lang w:val="en-US"/>
        </w:rPr>
      </w:pPr>
    </w:p>
    <w:p w:rsidR="001A41B5" w:rsidRPr="00D60137" w:rsidRDefault="001A41B5" w:rsidP="001A41B5">
      <w:pPr>
        <w:autoSpaceDE w:val="0"/>
        <w:rPr>
          <w:rFonts w:asciiTheme="minorHAnsi" w:eastAsia="Arial" w:hAnsiTheme="minorHAnsi" w:cs="Arial"/>
          <w:color w:val="000000"/>
          <w:sz w:val="22"/>
          <w:szCs w:val="22"/>
        </w:rPr>
      </w:pPr>
      <w:r w:rsidRPr="00D60137">
        <w:rPr>
          <w:rFonts w:asciiTheme="minorHAnsi" w:eastAsia="Arial" w:hAnsiTheme="minorHAnsi" w:cs="Arial"/>
          <w:color w:val="000000"/>
          <w:sz w:val="22"/>
          <w:szCs w:val="22"/>
        </w:rPr>
        <w:t>Avec</w:t>
      </w:r>
    </w:p>
    <w:p w:rsidR="001A41B5" w:rsidRPr="00D60137" w:rsidRDefault="001A41B5" w:rsidP="001A41B5">
      <w:pPr>
        <w:autoSpaceDE w:val="0"/>
        <w:rPr>
          <w:rFonts w:asciiTheme="minorHAnsi" w:eastAsia="Arial" w:hAnsiTheme="minorHAnsi" w:cs="Arial"/>
          <w:color w:val="000000"/>
          <w:sz w:val="22"/>
          <w:szCs w:val="22"/>
        </w:rPr>
      </w:pPr>
    </w:p>
    <w:tbl>
      <w:tblPr>
        <w:tblStyle w:val="Grilledutableau"/>
        <w:tblW w:w="0" w:type="auto"/>
        <w:tblLook w:val="04A0" w:firstRow="1" w:lastRow="0" w:firstColumn="1" w:lastColumn="0" w:noHBand="0" w:noVBand="1"/>
      </w:tblPr>
      <w:tblGrid>
        <w:gridCol w:w="6799"/>
        <w:gridCol w:w="1418"/>
        <w:gridCol w:w="1695"/>
      </w:tblGrid>
      <w:tr w:rsidR="001A41B5" w:rsidRPr="00D60137" w:rsidTr="000B2606">
        <w:trPr>
          <w:trHeight w:val="438"/>
        </w:trPr>
        <w:tc>
          <w:tcPr>
            <w:tcW w:w="6799" w:type="dxa"/>
          </w:tcPr>
          <w:p w:rsidR="001A41B5" w:rsidRPr="00D60137" w:rsidRDefault="001A41B5"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N</w:t>
            </w:r>
            <w:r w:rsidR="00824EC8">
              <w:rPr>
                <w:rFonts w:asciiTheme="minorHAnsi" w:eastAsia="Arial" w:hAnsiTheme="minorHAnsi" w:cs="Arial"/>
                <w:color w:val="000000"/>
                <w:sz w:val="22"/>
                <w:szCs w:val="22"/>
              </w:rPr>
              <w:t>P</w:t>
            </w:r>
            <w:r>
              <w:rPr>
                <w:rFonts w:asciiTheme="minorHAnsi" w:eastAsia="Arial" w:hAnsiTheme="minorHAnsi" w:cs="Arial"/>
                <w:color w:val="000000"/>
                <w:sz w:val="22"/>
                <w:szCs w:val="22"/>
              </w:rPr>
              <w:t> : nombre de piézomètres à installer</w:t>
            </w:r>
          </w:p>
        </w:tc>
        <w:tc>
          <w:tcPr>
            <w:tcW w:w="1418" w:type="dxa"/>
          </w:tcPr>
          <w:p w:rsidR="001A41B5" w:rsidRPr="00D60137" w:rsidRDefault="002F1F3C"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w:t>
            </w:r>
          </w:p>
        </w:tc>
        <w:tc>
          <w:tcPr>
            <w:tcW w:w="1695" w:type="dxa"/>
          </w:tcPr>
          <w:p w:rsidR="001A41B5" w:rsidRPr="00D60137" w:rsidRDefault="001A41B5" w:rsidP="002A068F">
            <w:pPr>
              <w:autoSpaceDE w:val="0"/>
              <w:jc w:val="center"/>
              <w:rPr>
                <w:rFonts w:asciiTheme="minorHAnsi" w:eastAsia="SimSun" w:hAnsiTheme="minorHAnsi" w:cs="Arial"/>
                <w:color w:val="000000"/>
                <w:sz w:val="22"/>
                <w:szCs w:val="22"/>
              </w:rPr>
            </w:pPr>
            <w:r>
              <w:rPr>
                <w:rFonts w:asciiTheme="minorHAnsi" w:eastAsia="SimSun" w:hAnsiTheme="minorHAnsi" w:cs="Arial"/>
                <w:color w:val="000000"/>
                <w:sz w:val="22"/>
                <w:szCs w:val="22"/>
              </w:rPr>
              <w:t>m</w:t>
            </w:r>
          </w:p>
        </w:tc>
      </w:tr>
      <w:tr w:rsidR="001A41B5" w:rsidRPr="00D60137" w:rsidTr="000B2606">
        <w:trPr>
          <w:trHeight w:val="415"/>
        </w:trPr>
        <w:tc>
          <w:tcPr>
            <w:tcW w:w="6799" w:type="dxa"/>
          </w:tcPr>
          <w:p w:rsidR="001A41B5" w:rsidRPr="00D60137" w:rsidRDefault="001A41B5" w:rsidP="00824EC8">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C</w:t>
            </w:r>
            <w:r w:rsidR="00824EC8">
              <w:rPr>
                <w:rFonts w:asciiTheme="minorHAnsi" w:eastAsia="Arial" w:hAnsiTheme="minorHAnsi" w:cs="Arial"/>
                <w:color w:val="000000"/>
                <w:sz w:val="22"/>
                <w:szCs w:val="22"/>
              </w:rPr>
              <w:t>P</w:t>
            </w:r>
            <w:r>
              <w:rPr>
                <w:rFonts w:asciiTheme="minorHAnsi" w:eastAsia="Arial" w:hAnsiTheme="minorHAnsi" w:cs="Arial"/>
                <w:color w:val="000000"/>
                <w:sz w:val="22"/>
                <w:szCs w:val="22"/>
              </w:rPr>
              <w:t> : Coût unitaire de réalisation d’un piézomètre</w:t>
            </w:r>
          </w:p>
        </w:tc>
        <w:tc>
          <w:tcPr>
            <w:tcW w:w="1418" w:type="dxa"/>
          </w:tcPr>
          <w:p w:rsidR="001A41B5" w:rsidRPr="00D60137" w:rsidRDefault="00824EC8"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3</w:t>
            </w:r>
            <w:r w:rsidR="001A41B5">
              <w:rPr>
                <w:rFonts w:asciiTheme="minorHAnsi" w:eastAsia="Arial" w:hAnsiTheme="minorHAnsi" w:cs="Arial"/>
                <w:color w:val="000000"/>
                <w:sz w:val="22"/>
                <w:szCs w:val="22"/>
              </w:rPr>
              <w:t>00</w:t>
            </w:r>
          </w:p>
        </w:tc>
        <w:tc>
          <w:tcPr>
            <w:tcW w:w="1695" w:type="dxa"/>
          </w:tcPr>
          <w:p w:rsidR="001A41B5" w:rsidRPr="00D60137" w:rsidRDefault="001A41B5" w:rsidP="002A068F">
            <w:pPr>
              <w:autoSpaceDE w:val="0"/>
              <w:jc w:val="center"/>
              <w:rPr>
                <w:rFonts w:asciiTheme="minorHAnsi" w:eastAsia="SimSun" w:hAnsiTheme="minorHAnsi" w:cs="Arial"/>
                <w:color w:val="000000"/>
                <w:sz w:val="22"/>
                <w:szCs w:val="22"/>
              </w:rPr>
            </w:pPr>
            <w:r>
              <w:rPr>
                <w:rFonts w:asciiTheme="minorHAnsi" w:eastAsia="SimSun" w:hAnsiTheme="minorHAnsi" w:cs="Arial"/>
                <w:color w:val="000000"/>
                <w:sz w:val="22"/>
                <w:szCs w:val="22"/>
              </w:rPr>
              <w:t>€/m de piézo</w:t>
            </w:r>
          </w:p>
        </w:tc>
      </w:tr>
      <w:tr w:rsidR="001A41B5" w:rsidRPr="00D60137" w:rsidTr="000B2606">
        <w:trPr>
          <w:trHeight w:val="421"/>
        </w:trPr>
        <w:tc>
          <w:tcPr>
            <w:tcW w:w="6799" w:type="dxa"/>
          </w:tcPr>
          <w:p w:rsidR="001A41B5" w:rsidRPr="00D60137" w:rsidRDefault="001A41B5"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H = profondeur d’un piézomètre</w:t>
            </w:r>
          </w:p>
        </w:tc>
        <w:tc>
          <w:tcPr>
            <w:tcW w:w="1418" w:type="dxa"/>
          </w:tcPr>
          <w:p w:rsidR="001A41B5" w:rsidRPr="00D60137" w:rsidRDefault="001A41B5"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w:t>
            </w:r>
          </w:p>
        </w:tc>
        <w:tc>
          <w:tcPr>
            <w:tcW w:w="1695" w:type="dxa"/>
          </w:tcPr>
          <w:p w:rsidR="001A41B5" w:rsidRPr="00D60137" w:rsidRDefault="001A41B5"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m</w:t>
            </w:r>
          </w:p>
        </w:tc>
      </w:tr>
      <w:tr w:rsidR="001A41B5" w:rsidRPr="00D60137" w:rsidTr="000B2606">
        <w:trPr>
          <w:trHeight w:val="414"/>
        </w:trPr>
        <w:tc>
          <w:tcPr>
            <w:tcW w:w="6799" w:type="dxa"/>
          </w:tcPr>
          <w:p w:rsidR="001A41B5" w:rsidRPr="00D60137" w:rsidRDefault="001A41B5"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C : Coût de contrôle et d’interprétation des résultats de la qualité des eaux de la nappe par piézomètre</w:t>
            </w:r>
          </w:p>
        </w:tc>
        <w:tc>
          <w:tcPr>
            <w:tcW w:w="1418" w:type="dxa"/>
          </w:tcPr>
          <w:p w:rsidR="001A41B5" w:rsidRPr="00D60137" w:rsidRDefault="001A41B5"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2000</w:t>
            </w:r>
          </w:p>
        </w:tc>
        <w:tc>
          <w:tcPr>
            <w:tcW w:w="1695" w:type="dxa"/>
          </w:tcPr>
          <w:p w:rsidR="001A41B5" w:rsidRPr="00D60137" w:rsidRDefault="001A41B5"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€/piézo</w:t>
            </w:r>
          </w:p>
        </w:tc>
      </w:tr>
      <w:tr w:rsidR="001A41B5" w:rsidRPr="00D60137" w:rsidTr="000B2606">
        <w:trPr>
          <w:trHeight w:val="420"/>
        </w:trPr>
        <w:tc>
          <w:tcPr>
            <w:tcW w:w="6799" w:type="dxa"/>
          </w:tcPr>
          <w:p w:rsidR="001A41B5" w:rsidRDefault="00824EC8"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CD</w:t>
            </w:r>
            <w:r w:rsidR="00F7366A">
              <w:rPr>
                <w:rFonts w:asciiTheme="minorHAnsi" w:eastAsia="Arial" w:hAnsiTheme="minorHAnsi" w:cs="Arial"/>
                <w:color w:val="000000"/>
                <w:sz w:val="22"/>
                <w:szCs w:val="22"/>
              </w:rPr>
              <w:t> : Coût d’un diagnostic de pollution des sols</w:t>
            </w:r>
          </w:p>
          <w:p w:rsidR="00F7366A" w:rsidRDefault="00F7366A"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Si S ≤ 10 ha : 10000 € TTC + 5000 € TTC/ha</w:t>
            </w:r>
          </w:p>
          <w:p w:rsidR="00F7366A" w:rsidRPr="00D60137" w:rsidRDefault="00F7366A" w:rsidP="000B2606">
            <w:pPr>
              <w:autoSpaceDE w:val="0"/>
              <w:rPr>
                <w:rFonts w:asciiTheme="minorHAnsi" w:eastAsia="Arial" w:hAnsiTheme="minorHAnsi" w:cs="Arial"/>
                <w:color w:val="000000"/>
                <w:sz w:val="22"/>
                <w:szCs w:val="22"/>
              </w:rPr>
            </w:pPr>
            <w:r>
              <w:rPr>
                <w:rFonts w:asciiTheme="minorHAnsi" w:eastAsia="Arial" w:hAnsiTheme="minorHAnsi" w:cs="Arial"/>
                <w:color w:val="000000"/>
                <w:sz w:val="22"/>
                <w:szCs w:val="22"/>
              </w:rPr>
              <w:t>Si S &gt; 10 ha : 60000 € TTC + 2000 € TTC/ha au-delà de 10 ha</w:t>
            </w:r>
          </w:p>
        </w:tc>
        <w:tc>
          <w:tcPr>
            <w:tcW w:w="1418" w:type="dxa"/>
          </w:tcPr>
          <w:p w:rsidR="001A41B5" w:rsidRPr="00E2458F" w:rsidRDefault="00E2458F" w:rsidP="002A068F">
            <w:pPr>
              <w:autoSpaceDE w:val="0"/>
              <w:jc w:val="center"/>
              <w:rPr>
                <w:rFonts w:asciiTheme="minorHAnsi" w:eastAsia="Arial" w:hAnsiTheme="minorHAnsi" w:cs="Arial"/>
                <w:color w:val="000000"/>
                <w:sz w:val="22"/>
                <w:szCs w:val="22"/>
              </w:rPr>
            </w:pPr>
            <w:r w:rsidRPr="00E2458F">
              <w:rPr>
                <w:rFonts w:asciiTheme="minorHAnsi" w:eastAsia="Arial" w:hAnsiTheme="minorHAnsi" w:cs="Arial"/>
                <w:color w:val="000000"/>
                <w:sz w:val="22"/>
                <w:szCs w:val="22"/>
              </w:rPr>
              <w:t>~0,9</w:t>
            </w:r>
            <w:r w:rsidR="002A068F" w:rsidRPr="00E2458F">
              <w:rPr>
                <w:rFonts w:asciiTheme="minorHAnsi" w:eastAsia="Arial" w:hAnsiTheme="minorHAnsi" w:cs="Arial"/>
                <w:color w:val="000000"/>
                <w:sz w:val="22"/>
                <w:szCs w:val="22"/>
              </w:rPr>
              <w:t xml:space="preserve"> ha</w:t>
            </w:r>
          </w:p>
          <w:p w:rsidR="002A068F" w:rsidRPr="00E2458F" w:rsidRDefault="002A068F" w:rsidP="00E2458F">
            <w:pPr>
              <w:autoSpaceDE w:val="0"/>
              <w:jc w:val="center"/>
              <w:rPr>
                <w:rFonts w:asciiTheme="minorHAnsi" w:eastAsia="Arial" w:hAnsiTheme="minorHAnsi" w:cs="Arial"/>
                <w:color w:val="000000"/>
                <w:sz w:val="22"/>
                <w:szCs w:val="22"/>
              </w:rPr>
            </w:pPr>
            <w:r w:rsidRPr="00E2458F">
              <w:rPr>
                <w:rFonts w:asciiTheme="minorHAnsi" w:eastAsia="Arial" w:hAnsiTheme="minorHAnsi" w:cs="Arial"/>
                <w:color w:val="000000"/>
                <w:sz w:val="22"/>
                <w:szCs w:val="22"/>
              </w:rPr>
              <w:t>Donc : 1</w:t>
            </w:r>
            <w:r w:rsidR="00E2458F" w:rsidRPr="00E2458F">
              <w:rPr>
                <w:rFonts w:asciiTheme="minorHAnsi" w:eastAsia="Arial" w:hAnsiTheme="minorHAnsi" w:cs="Arial"/>
                <w:color w:val="000000"/>
                <w:sz w:val="22"/>
                <w:szCs w:val="22"/>
              </w:rPr>
              <w:t>4</w:t>
            </w:r>
            <w:r w:rsidRPr="00E2458F">
              <w:rPr>
                <w:rFonts w:asciiTheme="minorHAnsi" w:eastAsia="Arial" w:hAnsiTheme="minorHAnsi" w:cs="Arial"/>
                <w:color w:val="000000"/>
                <w:sz w:val="22"/>
                <w:szCs w:val="22"/>
              </w:rPr>
              <w:t>500€</w:t>
            </w:r>
          </w:p>
        </w:tc>
        <w:tc>
          <w:tcPr>
            <w:tcW w:w="1695" w:type="dxa"/>
          </w:tcPr>
          <w:p w:rsidR="001A41B5" w:rsidRPr="00D60137" w:rsidRDefault="001A41B5" w:rsidP="002A068F">
            <w:pPr>
              <w:autoSpaceDE w:val="0"/>
              <w:jc w:val="center"/>
              <w:rPr>
                <w:rFonts w:asciiTheme="minorHAnsi" w:eastAsia="Arial" w:hAnsiTheme="minorHAnsi" w:cs="Arial"/>
                <w:color w:val="000000"/>
                <w:sz w:val="22"/>
                <w:szCs w:val="22"/>
              </w:rPr>
            </w:pPr>
            <w:r>
              <w:rPr>
                <w:rFonts w:asciiTheme="minorHAnsi" w:eastAsia="Arial" w:hAnsiTheme="minorHAnsi" w:cs="Arial"/>
                <w:color w:val="000000"/>
                <w:sz w:val="22"/>
                <w:szCs w:val="22"/>
              </w:rPr>
              <w:t>ha</w:t>
            </w:r>
          </w:p>
        </w:tc>
      </w:tr>
      <w:tr w:rsidR="001A41B5" w:rsidRPr="002A068F" w:rsidTr="002A068F">
        <w:trPr>
          <w:trHeight w:val="420"/>
        </w:trPr>
        <w:tc>
          <w:tcPr>
            <w:tcW w:w="6799" w:type="dxa"/>
            <w:shd w:val="clear" w:color="auto" w:fill="BFBFBF" w:themeFill="background1" w:themeFillShade="BF"/>
            <w:vAlign w:val="center"/>
          </w:tcPr>
          <w:p w:rsidR="001A41B5" w:rsidRPr="002A068F" w:rsidRDefault="00F7366A" w:rsidP="002A068F">
            <w:pPr>
              <w:autoSpaceDE w:val="0"/>
              <w:jc w:val="right"/>
              <w:rPr>
                <w:rFonts w:asciiTheme="minorHAnsi" w:eastAsia="Arial" w:hAnsiTheme="minorHAnsi" w:cs="Arial"/>
                <w:b/>
                <w:color w:val="000000"/>
                <w:sz w:val="22"/>
                <w:szCs w:val="22"/>
              </w:rPr>
            </w:pPr>
            <w:r w:rsidRPr="002A068F">
              <w:rPr>
                <w:rFonts w:asciiTheme="minorHAnsi" w:eastAsia="Arial" w:hAnsiTheme="minorHAnsi" w:cs="Arial"/>
                <w:b/>
                <w:color w:val="000000"/>
                <w:sz w:val="22"/>
                <w:szCs w:val="22"/>
              </w:rPr>
              <w:t>TOTAL Ms</w:t>
            </w:r>
          </w:p>
        </w:tc>
        <w:tc>
          <w:tcPr>
            <w:tcW w:w="1418" w:type="dxa"/>
            <w:shd w:val="clear" w:color="auto" w:fill="BFBFBF" w:themeFill="background1" w:themeFillShade="BF"/>
            <w:vAlign w:val="center"/>
          </w:tcPr>
          <w:p w:rsidR="001A41B5" w:rsidRPr="00E2458F" w:rsidRDefault="002A068F" w:rsidP="00E2458F">
            <w:pPr>
              <w:autoSpaceDE w:val="0"/>
              <w:jc w:val="center"/>
              <w:rPr>
                <w:rFonts w:asciiTheme="minorHAnsi" w:eastAsia="Arial" w:hAnsiTheme="minorHAnsi" w:cs="Arial"/>
                <w:b/>
                <w:color w:val="000000"/>
                <w:sz w:val="22"/>
                <w:szCs w:val="22"/>
              </w:rPr>
            </w:pPr>
            <w:r w:rsidRPr="00E2458F">
              <w:rPr>
                <w:rFonts w:asciiTheme="minorHAnsi" w:eastAsia="Arial" w:hAnsiTheme="minorHAnsi" w:cs="Arial"/>
                <w:b/>
                <w:color w:val="000000"/>
                <w:sz w:val="22"/>
                <w:szCs w:val="22"/>
              </w:rPr>
              <w:t>1</w:t>
            </w:r>
            <w:r w:rsidR="00E2458F" w:rsidRPr="00E2458F">
              <w:rPr>
                <w:rFonts w:asciiTheme="minorHAnsi" w:eastAsia="Arial" w:hAnsiTheme="minorHAnsi" w:cs="Arial"/>
                <w:b/>
                <w:color w:val="000000"/>
                <w:sz w:val="22"/>
                <w:szCs w:val="22"/>
              </w:rPr>
              <w:t>4</w:t>
            </w:r>
            <w:r w:rsidRPr="00E2458F">
              <w:rPr>
                <w:rFonts w:asciiTheme="minorHAnsi" w:eastAsia="Arial" w:hAnsiTheme="minorHAnsi" w:cs="Arial"/>
                <w:b/>
                <w:color w:val="000000"/>
                <w:sz w:val="22"/>
                <w:szCs w:val="22"/>
              </w:rPr>
              <w:t>500</w:t>
            </w:r>
          </w:p>
        </w:tc>
        <w:tc>
          <w:tcPr>
            <w:tcW w:w="1695" w:type="dxa"/>
            <w:shd w:val="clear" w:color="auto" w:fill="BFBFBF" w:themeFill="background1" w:themeFillShade="BF"/>
            <w:vAlign w:val="center"/>
          </w:tcPr>
          <w:p w:rsidR="001A41B5" w:rsidRPr="002A068F" w:rsidRDefault="001A41B5" w:rsidP="002A068F">
            <w:pPr>
              <w:autoSpaceDE w:val="0"/>
              <w:jc w:val="center"/>
              <w:rPr>
                <w:rFonts w:asciiTheme="minorHAnsi" w:eastAsia="Arial" w:hAnsiTheme="minorHAnsi" w:cs="Arial"/>
                <w:b/>
                <w:color w:val="000000"/>
                <w:sz w:val="22"/>
                <w:szCs w:val="22"/>
              </w:rPr>
            </w:pPr>
            <w:r w:rsidRPr="002A068F">
              <w:rPr>
                <w:rFonts w:asciiTheme="minorHAnsi" w:eastAsia="Arial" w:hAnsiTheme="minorHAnsi" w:cs="Arial"/>
                <w:b/>
                <w:color w:val="000000"/>
                <w:sz w:val="22"/>
                <w:szCs w:val="22"/>
              </w:rPr>
              <w:t>€</w:t>
            </w:r>
          </w:p>
        </w:tc>
      </w:tr>
    </w:tbl>
    <w:p w:rsidR="001A41B5" w:rsidRDefault="001A41B5" w:rsidP="001A41B5">
      <w:pPr>
        <w:autoSpaceDE w:val="0"/>
        <w:rPr>
          <w:rFonts w:ascii="Arial" w:eastAsia="Arial" w:hAnsi="Arial" w:cs="Arial"/>
          <w:color w:val="0585A7"/>
          <w:sz w:val="32"/>
          <w:szCs w:val="32"/>
          <w:lang w:val="en-US"/>
        </w:rPr>
      </w:pPr>
    </w:p>
    <w:p w:rsidR="004C6663" w:rsidRPr="002F1F3C" w:rsidRDefault="002F1F3C" w:rsidP="001A41B5">
      <w:pPr>
        <w:autoSpaceDE w:val="0"/>
        <w:rPr>
          <w:rFonts w:asciiTheme="minorHAnsi" w:eastAsia="Arial" w:hAnsiTheme="minorHAnsi" w:cstheme="minorHAnsi"/>
          <w:sz w:val="22"/>
          <w:szCs w:val="22"/>
        </w:rPr>
      </w:pPr>
      <w:r w:rsidRPr="002F1F3C">
        <w:rPr>
          <w:rFonts w:asciiTheme="minorHAnsi" w:eastAsia="Arial" w:hAnsiTheme="minorHAnsi" w:cstheme="minorHAnsi"/>
          <w:sz w:val="22"/>
          <w:szCs w:val="22"/>
          <w:u w:val="single"/>
        </w:rPr>
        <w:t>Complément d’informations:</w:t>
      </w:r>
      <w:r w:rsidRPr="002F1F3C">
        <w:rPr>
          <w:rFonts w:asciiTheme="minorHAnsi" w:eastAsia="Arial" w:hAnsiTheme="minorHAnsi" w:cstheme="minorHAnsi"/>
          <w:sz w:val="22"/>
          <w:szCs w:val="22"/>
        </w:rPr>
        <w:t xml:space="preserve"> compte-tenu de l’activité du site</w:t>
      </w:r>
      <w:r>
        <w:rPr>
          <w:rFonts w:asciiTheme="minorHAnsi" w:eastAsia="Arial" w:hAnsiTheme="minorHAnsi" w:cstheme="minorHAnsi"/>
          <w:sz w:val="22"/>
          <w:szCs w:val="22"/>
        </w:rPr>
        <w:t>, et de la présence en quantité très limitée de matières dangereuses, il n’est pas prévu l’implantation de piézomètres.</w:t>
      </w:r>
    </w:p>
    <w:p w:rsidR="004C6663" w:rsidRPr="002F1F3C" w:rsidRDefault="004C6663" w:rsidP="001A41B5">
      <w:pPr>
        <w:autoSpaceDE w:val="0"/>
        <w:rPr>
          <w:rFonts w:ascii="Arial" w:eastAsia="Arial" w:hAnsi="Arial" w:cs="Arial"/>
          <w:color w:val="0585A7"/>
          <w:sz w:val="32"/>
          <w:szCs w:val="32"/>
        </w:rPr>
      </w:pPr>
    </w:p>
    <w:p w:rsidR="00F7366A" w:rsidRPr="00EE35C9" w:rsidRDefault="002F1F3C" w:rsidP="00F7366A">
      <w:pPr>
        <w:autoSpaceDE w:val="0"/>
        <w:rPr>
          <w:rFonts w:ascii="Arial" w:eastAsia="Arial" w:hAnsi="Arial" w:cs="Arial"/>
          <w:color w:val="1F4E79" w:themeColor="accent1" w:themeShade="80"/>
          <w:sz w:val="32"/>
          <w:szCs w:val="32"/>
        </w:rPr>
      </w:pPr>
      <w:r>
        <w:rPr>
          <w:rFonts w:ascii="Arial" w:eastAsia="Arial" w:hAnsi="Arial" w:cs="Arial"/>
          <w:color w:val="1F4E79" w:themeColor="accent1" w:themeShade="80"/>
          <w:sz w:val="32"/>
          <w:szCs w:val="32"/>
        </w:rPr>
        <w:t>6</w:t>
      </w:r>
      <w:r w:rsidR="00F7366A" w:rsidRPr="00EE35C9">
        <w:rPr>
          <w:rFonts w:ascii="Arial" w:eastAsia="Arial" w:hAnsi="Arial" w:cs="Arial"/>
          <w:color w:val="1F4E79" w:themeColor="accent1" w:themeShade="80"/>
          <w:sz w:val="32"/>
          <w:szCs w:val="32"/>
        </w:rPr>
        <w:t>. MG : COUTS DE SURVEILLANCE DU SITE (GARDIENNAGE OU AUTRE DISPOSITIF EQUIVALENT) (MG)</w:t>
      </w:r>
    </w:p>
    <w:p w:rsidR="00F7366A" w:rsidRDefault="00F7366A" w:rsidP="00F7366A">
      <w:pPr>
        <w:autoSpaceDE w:val="0"/>
        <w:rPr>
          <w:rFonts w:ascii="Arial" w:eastAsia="Arial" w:hAnsi="Arial" w:cs="Arial"/>
          <w:color w:val="0585A7"/>
          <w:sz w:val="32"/>
          <w:szCs w:val="32"/>
        </w:rPr>
      </w:pPr>
    </w:p>
    <w:p w:rsidR="00F7366A" w:rsidRPr="00EE35C9" w:rsidRDefault="00F7366A" w:rsidP="00EE35C9">
      <w:pPr>
        <w:pBdr>
          <w:top w:val="single" w:sz="4" w:space="1" w:color="auto"/>
          <w:left w:val="single" w:sz="4" w:space="4" w:color="auto"/>
          <w:bottom w:val="single" w:sz="4" w:space="1" w:color="auto"/>
          <w:right w:val="single" w:sz="4" w:space="4" w:color="auto"/>
        </w:pBdr>
        <w:autoSpaceDE w:val="0"/>
        <w:jc w:val="center"/>
        <w:rPr>
          <w:rFonts w:asciiTheme="minorHAnsi" w:eastAsia="Arial" w:hAnsiTheme="minorHAnsi" w:cs="Arial"/>
          <w:b/>
          <w:sz w:val="28"/>
          <w:szCs w:val="22"/>
          <w:lang w:val="en-US"/>
        </w:rPr>
      </w:pPr>
      <w:r w:rsidRPr="00EE35C9">
        <w:rPr>
          <w:rFonts w:asciiTheme="minorHAnsi" w:eastAsia="Arial" w:hAnsiTheme="minorHAnsi" w:cs="Arial"/>
          <w:b/>
          <w:sz w:val="28"/>
          <w:szCs w:val="22"/>
          <w:lang w:val="en-US"/>
        </w:rPr>
        <w:t>M</w:t>
      </w:r>
      <w:r w:rsidR="00ED6D27" w:rsidRPr="00EE35C9">
        <w:rPr>
          <w:rFonts w:asciiTheme="minorHAnsi" w:eastAsia="Arial" w:hAnsiTheme="minorHAnsi" w:cs="Arial"/>
          <w:b/>
          <w:sz w:val="28"/>
          <w:szCs w:val="22"/>
          <w:lang w:val="en-US"/>
        </w:rPr>
        <w:t>G</w:t>
      </w:r>
      <w:r w:rsidRPr="00EE35C9">
        <w:rPr>
          <w:rFonts w:asciiTheme="minorHAnsi" w:eastAsia="Arial" w:hAnsiTheme="minorHAnsi" w:cs="Arial"/>
          <w:b/>
          <w:sz w:val="28"/>
          <w:szCs w:val="22"/>
          <w:lang w:val="en-US"/>
        </w:rPr>
        <w:t xml:space="preserve"> = C</w:t>
      </w:r>
      <w:r w:rsidR="00ED6D27" w:rsidRPr="00EE35C9">
        <w:rPr>
          <w:rFonts w:asciiTheme="minorHAnsi" w:eastAsia="Arial" w:hAnsiTheme="minorHAnsi" w:cs="Arial"/>
          <w:b/>
          <w:sz w:val="28"/>
          <w:szCs w:val="22"/>
          <w:lang w:val="en-US"/>
        </w:rPr>
        <w:t>G</w:t>
      </w:r>
      <w:r w:rsidRPr="00EE35C9">
        <w:rPr>
          <w:rFonts w:asciiTheme="minorHAnsi" w:eastAsia="Arial" w:hAnsiTheme="minorHAnsi" w:cs="Arial"/>
          <w:b/>
          <w:sz w:val="28"/>
          <w:szCs w:val="22"/>
          <w:lang w:val="en-US"/>
        </w:rPr>
        <w:t xml:space="preserve"> x H</w:t>
      </w:r>
      <w:r w:rsidR="00ED6D27" w:rsidRPr="00EE35C9">
        <w:rPr>
          <w:rFonts w:asciiTheme="minorHAnsi" w:eastAsia="Arial" w:hAnsiTheme="minorHAnsi" w:cs="Arial"/>
          <w:b/>
          <w:sz w:val="28"/>
          <w:szCs w:val="22"/>
          <w:lang w:val="en-US"/>
        </w:rPr>
        <w:t>G</w:t>
      </w:r>
      <w:r w:rsidRPr="00EE35C9">
        <w:rPr>
          <w:rFonts w:asciiTheme="minorHAnsi" w:eastAsia="Arial" w:hAnsiTheme="minorHAnsi" w:cs="Arial"/>
          <w:b/>
          <w:sz w:val="28"/>
          <w:szCs w:val="22"/>
          <w:lang w:val="en-US"/>
        </w:rPr>
        <w:t xml:space="preserve"> x N</w:t>
      </w:r>
      <w:r w:rsidR="00ED6D27" w:rsidRPr="00EE35C9">
        <w:rPr>
          <w:rFonts w:asciiTheme="minorHAnsi" w:eastAsia="Arial" w:hAnsiTheme="minorHAnsi" w:cs="Arial"/>
          <w:b/>
          <w:sz w:val="28"/>
          <w:szCs w:val="22"/>
          <w:lang w:val="en-US"/>
        </w:rPr>
        <w:t>G</w:t>
      </w:r>
      <w:r w:rsidRPr="00EE35C9">
        <w:rPr>
          <w:rFonts w:asciiTheme="minorHAnsi" w:eastAsia="Arial" w:hAnsiTheme="minorHAnsi" w:cs="Arial"/>
          <w:b/>
          <w:sz w:val="28"/>
          <w:szCs w:val="22"/>
          <w:lang w:val="en-US"/>
        </w:rPr>
        <w:t xml:space="preserve"> x 6</w:t>
      </w:r>
    </w:p>
    <w:p w:rsidR="00F7366A" w:rsidRDefault="00F7366A" w:rsidP="00F7366A">
      <w:pPr>
        <w:autoSpaceDE w:val="0"/>
        <w:rPr>
          <w:rFonts w:ascii="Arial" w:eastAsia="Arial" w:hAnsi="Arial" w:cs="Arial"/>
          <w:color w:val="0585A7"/>
          <w:sz w:val="32"/>
          <w:szCs w:val="32"/>
          <w:lang w:val="en-US"/>
        </w:rPr>
      </w:pPr>
    </w:p>
    <w:p w:rsidR="00EE35C9" w:rsidRDefault="00EE35C9" w:rsidP="00EE35C9">
      <w:pPr>
        <w:autoSpaceDE w:val="0"/>
        <w:rPr>
          <w:rFonts w:asciiTheme="minorHAnsi" w:eastAsia="Arial" w:hAnsiTheme="minorHAnsi" w:cs="Arial"/>
          <w:color w:val="000000"/>
          <w:sz w:val="22"/>
          <w:szCs w:val="22"/>
          <w:u w:val="single"/>
        </w:rPr>
      </w:pPr>
      <w:r w:rsidRPr="001F2C85">
        <w:rPr>
          <w:rFonts w:asciiTheme="minorHAnsi" w:eastAsia="Arial" w:hAnsiTheme="minorHAnsi" w:cs="Arial"/>
          <w:color w:val="000000"/>
          <w:sz w:val="22"/>
          <w:szCs w:val="22"/>
          <w:u w:val="single"/>
        </w:rPr>
        <w:t xml:space="preserve">Compléments d’informations </w:t>
      </w:r>
    </w:p>
    <w:p w:rsidR="00EE35C9" w:rsidRDefault="00EE35C9" w:rsidP="00EE35C9">
      <w:pPr>
        <w:autoSpaceDE w:val="0"/>
        <w:rPr>
          <w:rFonts w:asciiTheme="minorHAnsi" w:eastAsia="Arial" w:hAnsiTheme="minorHAnsi" w:cs="Arial"/>
          <w:color w:val="000000"/>
          <w:sz w:val="22"/>
          <w:szCs w:val="22"/>
        </w:rPr>
      </w:pPr>
    </w:p>
    <w:p w:rsidR="00F7366A" w:rsidRPr="002F1F3C" w:rsidRDefault="00F7366A" w:rsidP="00F7366A">
      <w:pPr>
        <w:autoSpaceDE w:val="0"/>
        <w:rPr>
          <w:rFonts w:asciiTheme="minorHAnsi" w:eastAsia="Arial" w:hAnsiTheme="minorHAnsi" w:cstheme="minorHAnsi"/>
          <w:sz w:val="22"/>
          <w:szCs w:val="22"/>
        </w:rPr>
      </w:pPr>
      <w:r w:rsidRPr="002F1F3C">
        <w:rPr>
          <w:rFonts w:asciiTheme="minorHAnsi" w:eastAsia="Arial" w:hAnsiTheme="minorHAnsi" w:cstheme="minorHAnsi"/>
          <w:sz w:val="22"/>
          <w:szCs w:val="22"/>
        </w:rPr>
        <w:t>Aucune surveillance par un gardiennage n’est pr</w:t>
      </w:r>
      <w:r w:rsidR="00EE35C9" w:rsidRPr="002F1F3C">
        <w:rPr>
          <w:rFonts w:asciiTheme="minorHAnsi" w:eastAsia="Arial" w:hAnsiTheme="minorHAnsi" w:cstheme="minorHAnsi"/>
          <w:sz w:val="22"/>
          <w:szCs w:val="22"/>
        </w:rPr>
        <w:t>é</w:t>
      </w:r>
      <w:r w:rsidRPr="002F1F3C">
        <w:rPr>
          <w:rFonts w:asciiTheme="minorHAnsi" w:eastAsia="Arial" w:hAnsiTheme="minorHAnsi" w:cstheme="minorHAnsi"/>
          <w:sz w:val="22"/>
          <w:szCs w:val="22"/>
        </w:rPr>
        <w:t>vue pour le site. Toutefois, conformément à la Note 2013-265 du 20 novembre 2013 relative aux garanties financières pour la mise en sécurité des installations définies au 5</w:t>
      </w:r>
      <w:r w:rsidRPr="002F1F3C">
        <w:rPr>
          <w:rFonts w:asciiTheme="minorHAnsi" w:eastAsia="Arial" w:hAnsiTheme="minorHAnsi" w:cstheme="minorHAnsi"/>
          <w:sz w:val="22"/>
          <w:szCs w:val="22"/>
          <w:vertAlign w:val="superscript"/>
        </w:rPr>
        <w:t>e</w:t>
      </w:r>
      <w:r w:rsidRPr="002F1F3C">
        <w:rPr>
          <w:rFonts w:asciiTheme="minorHAnsi" w:eastAsia="Arial" w:hAnsiTheme="minorHAnsi" w:cstheme="minorHAnsi"/>
          <w:sz w:val="22"/>
          <w:szCs w:val="22"/>
        </w:rPr>
        <w:t xml:space="preserve"> du R.516-1 du Code de l’Environnement :</w:t>
      </w:r>
    </w:p>
    <w:p w:rsidR="00F7366A" w:rsidRPr="00EE35C9" w:rsidRDefault="00F7366A" w:rsidP="00F7366A">
      <w:pPr>
        <w:autoSpaceDE w:val="0"/>
        <w:rPr>
          <w:rFonts w:asciiTheme="minorHAnsi" w:eastAsia="Arial" w:hAnsiTheme="minorHAnsi" w:cstheme="minorHAnsi"/>
          <w:color w:val="0585A7"/>
          <w:sz w:val="22"/>
          <w:szCs w:val="22"/>
        </w:rPr>
      </w:pPr>
    </w:p>
    <w:p w:rsidR="00F7366A" w:rsidRPr="00EE35C9" w:rsidRDefault="00F7366A" w:rsidP="00F7366A">
      <w:pPr>
        <w:autoSpaceDE w:val="0"/>
        <w:rPr>
          <w:rFonts w:asciiTheme="minorHAnsi" w:eastAsia="Arial" w:hAnsiTheme="minorHAnsi" w:cstheme="minorHAnsi"/>
          <w:sz w:val="22"/>
          <w:szCs w:val="22"/>
        </w:rPr>
      </w:pPr>
      <w:r w:rsidRPr="00EE35C9">
        <w:rPr>
          <w:rFonts w:asciiTheme="minorHAnsi" w:eastAsia="Arial" w:hAnsiTheme="minorHAnsi" w:cstheme="minorHAnsi"/>
          <w:sz w:val="22"/>
          <w:szCs w:val="22"/>
        </w:rPr>
        <w:t xml:space="preserve">«  Au vu des pratiques usuellement observées, un montant raisonnable pour le gardiennage est de minimum 15000  </w:t>
      </w:r>
      <w:r w:rsidR="00EE35C9">
        <w:rPr>
          <w:rFonts w:asciiTheme="minorHAnsi" w:eastAsia="Arial" w:hAnsiTheme="minorHAnsi" w:cstheme="minorHAnsi"/>
          <w:sz w:val="22"/>
          <w:szCs w:val="22"/>
        </w:rPr>
        <w:t>€</w:t>
      </w:r>
      <w:r w:rsidRPr="00EE35C9">
        <w:rPr>
          <w:rFonts w:asciiTheme="minorHAnsi" w:eastAsia="Arial" w:hAnsiTheme="minorHAnsi" w:cstheme="minorHAnsi"/>
          <w:sz w:val="22"/>
          <w:szCs w:val="22"/>
        </w:rPr>
        <w:t>. Ces 15000 € serviront à gardienner le site à la cessation d’activité afin d’assurer la mise en sécurité d’urgence des installations présentant le plus de risques. »</w:t>
      </w:r>
    </w:p>
    <w:p w:rsidR="00F7366A" w:rsidRPr="00EE35C9" w:rsidRDefault="00F7366A" w:rsidP="00F7366A">
      <w:pPr>
        <w:autoSpaceDE w:val="0"/>
        <w:rPr>
          <w:rFonts w:asciiTheme="minorHAnsi" w:eastAsia="Arial" w:hAnsiTheme="minorHAnsi" w:cstheme="minorHAnsi"/>
          <w:sz w:val="22"/>
          <w:szCs w:val="22"/>
        </w:rPr>
      </w:pPr>
    </w:p>
    <w:p w:rsidR="00F7366A" w:rsidRPr="00EE35C9" w:rsidRDefault="00F7366A" w:rsidP="00F7366A">
      <w:pPr>
        <w:autoSpaceDE w:val="0"/>
        <w:rPr>
          <w:rFonts w:asciiTheme="minorHAnsi" w:eastAsia="Arial" w:hAnsiTheme="minorHAnsi" w:cstheme="minorHAnsi"/>
          <w:sz w:val="22"/>
          <w:szCs w:val="22"/>
        </w:rPr>
      </w:pPr>
      <w:r w:rsidRPr="00EE35C9">
        <w:rPr>
          <w:rFonts w:asciiTheme="minorHAnsi" w:eastAsia="Arial" w:hAnsiTheme="minorHAnsi" w:cstheme="minorHAnsi"/>
          <w:sz w:val="22"/>
          <w:szCs w:val="22"/>
        </w:rPr>
        <w:t>D’où :</w:t>
      </w:r>
    </w:p>
    <w:p w:rsidR="00F7366A" w:rsidRPr="00EE35C9" w:rsidRDefault="00F7366A" w:rsidP="00F7366A">
      <w:pPr>
        <w:autoSpaceDE w:val="0"/>
        <w:rPr>
          <w:rFonts w:asciiTheme="minorHAnsi" w:eastAsia="Arial" w:hAnsiTheme="minorHAnsi" w:cstheme="minorHAnsi"/>
          <w:sz w:val="22"/>
          <w:szCs w:val="22"/>
        </w:rPr>
      </w:pPr>
    </w:p>
    <w:p w:rsidR="00F7366A" w:rsidRPr="00EE35C9" w:rsidRDefault="00F7366A" w:rsidP="00EE35C9">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ind w:left="3969" w:right="4252"/>
        <w:jc w:val="center"/>
        <w:rPr>
          <w:rFonts w:asciiTheme="minorHAnsi" w:eastAsia="Arial" w:hAnsiTheme="minorHAnsi" w:cstheme="minorHAnsi"/>
          <w:b/>
          <w:sz w:val="22"/>
          <w:szCs w:val="22"/>
        </w:rPr>
      </w:pPr>
      <w:r w:rsidRPr="00EE35C9">
        <w:rPr>
          <w:rFonts w:asciiTheme="minorHAnsi" w:eastAsia="Arial" w:hAnsiTheme="minorHAnsi" w:cstheme="minorHAnsi"/>
          <w:b/>
          <w:sz w:val="22"/>
          <w:szCs w:val="22"/>
        </w:rPr>
        <w:t>Mg= 15000 €</w:t>
      </w:r>
    </w:p>
    <w:p w:rsidR="00F7366A" w:rsidRPr="00EE35C9" w:rsidRDefault="00F7366A" w:rsidP="00F7366A">
      <w:pPr>
        <w:autoSpaceDE w:val="0"/>
        <w:rPr>
          <w:rFonts w:asciiTheme="minorHAnsi" w:eastAsia="Arial" w:hAnsiTheme="minorHAnsi" w:cstheme="minorHAnsi"/>
          <w:color w:val="0585A7"/>
          <w:sz w:val="22"/>
          <w:szCs w:val="22"/>
        </w:rPr>
      </w:pPr>
    </w:p>
    <w:p w:rsidR="00F7366A" w:rsidRDefault="00F7366A" w:rsidP="00F7366A">
      <w:pPr>
        <w:autoSpaceDE w:val="0"/>
        <w:rPr>
          <w:rFonts w:ascii="Arial" w:eastAsia="Arial" w:hAnsi="Arial" w:cs="Arial"/>
          <w:color w:val="0585A7"/>
          <w:sz w:val="32"/>
          <w:szCs w:val="32"/>
        </w:rPr>
      </w:pPr>
    </w:p>
    <w:p w:rsidR="001B293A" w:rsidRDefault="001B293A" w:rsidP="00F7366A">
      <w:pPr>
        <w:autoSpaceDE w:val="0"/>
        <w:rPr>
          <w:rFonts w:ascii="Arial" w:eastAsia="Arial" w:hAnsi="Arial" w:cs="Arial"/>
          <w:color w:val="0585A7"/>
          <w:sz w:val="32"/>
          <w:szCs w:val="32"/>
        </w:rPr>
      </w:pPr>
    </w:p>
    <w:p w:rsidR="00F7366A" w:rsidRPr="00F7366A" w:rsidRDefault="00F7366A" w:rsidP="00F7366A">
      <w:pPr>
        <w:autoSpaceDE w:val="0"/>
        <w:rPr>
          <w:rFonts w:ascii="Arial" w:eastAsia="Arial" w:hAnsi="Arial" w:cs="Arial"/>
          <w:color w:val="0585A7"/>
          <w:sz w:val="32"/>
          <w:szCs w:val="32"/>
        </w:rPr>
      </w:pPr>
    </w:p>
    <w:p w:rsidR="001A41B5" w:rsidRPr="002F1F3C" w:rsidRDefault="00ED6D27" w:rsidP="00A3704C">
      <w:pPr>
        <w:autoSpaceDE w:val="0"/>
        <w:rPr>
          <w:rFonts w:ascii="Arial" w:eastAsia="Arial" w:hAnsi="Arial" w:cs="Arial"/>
          <w:color w:val="1F4E79" w:themeColor="accent1" w:themeShade="80"/>
          <w:sz w:val="32"/>
          <w:szCs w:val="32"/>
        </w:rPr>
      </w:pPr>
      <w:r w:rsidRPr="002F1F3C">
        <w:rPr>
          <w:rFonts w:ascii="Arial" w:eastAsia="Arial" w:hAnsi="Arial" w:cs="Arial"/>
          <w:color w:val="1F4E79" w:themeColor="accent1" w:themeShade="80"/>
          <w:sz w:val="32"/>
          <w:szCs w:val="32"/>
        </w:rPr>
        <w:lastRenderedPageBreak/>
        <w:t>7. α INDICE D’ACTUALISATION DES COUTS</w:t>
      </w:r>
    </w:p>
    <w:p w:rsidR="00ED6D27" w:rsidRDefault="00ED6D27" w:rsidP="00A3704C">
      <w:pPr>
        <w:autoSpaceDE w:val="0"/>
        <w:rPr>
          <w:rFonts w:asciiTheme="minorHAnsi" w:hAnsiTheme="minorHAnsi"/>
          <w:sz w:val="22"/>
          <w:szCs w:val="22"/>
        </w:rPr>
      </w:pPr>
    </w:p>
    <w:p w:rsidR="00ED6D27" w:rsidRPr="00ED6D27" w:rsidRDefault="00ED6D27" w:rsidP="00ED6D27">
      <w:pPr>
        <w:autoSpaceDE w:val="0"/>
        <w:jc w:val="center"/>
        <w:rPr>
          <w:rFonts w:asciiTheme="minorHAnsi" w:hAnsiTheme="minorHAnsi"/>
          <w:b/>
          <w:sz w:val="32"/>
          <w:szCs w:val="22"/>
          <w:lang w:val="en-US"/>
        </w:rPr>
      </w:pPr>
      <w:r w:rsidRPr="00ED6D27">
        <w:rPr>
          <w:rFonts w:asciiTheme="minorHAnsi" w:hAnsiTheme="minorHAnsi"/>
          <w:b/>
          <w:sz w:val="32"/>
          <w:szCs w:val="22"/>
        </w:rPr>
        <w:t>Α</w:t>
      </w:r>
      <w:r w:rsidRPr="00ED6D27">
        <w:rPr>
          <w:rFonts w:asciiTheme="minorHAnsi" w:hAnsiTheme="minorHAnsi"/>
          <w:b/>
          <w:sz w:val="32"/>
          <w:szCs w:val="22"/>
          <w:lang w:val="en-US"/>
        </w:rPr>
        <w:t>= [Index x (1+ TVAr)] / [Index0 x (1 + TVA0)]</w:t>
      </w:r>
    </w:p>
    <w:p w:rsidR="00ED6D27" w:rsidRDefault="00ED6D27" w:rsidP="00A3704C">
      <w:pPr>
        <w:autoSpaceDE w:val="0"/>
        <w:rPr>
          <w:rFonts w:asciiTheme="minorHAnsi" w:hAnsiTheme="minorHAnsi"/>
          <w:sz w:val="22"/>
          <w:szCs w:val="22"/>
          <w:lang w:val="en-US"/>
        </w:rPr>
      </w:pPr>
    </w:p>
    <w:p w:rsidR="00ED6D27" w:rsidRDefault="00ED6D27" w:rsidP="00A3704C">
      <w:pPr>
        <w:autoSpaceDE w:val="0"/>
        <w:rPr>
          <w:rFonts w:asciiTheme="minorHAnsi" w:hAnsiTheme="minorHAnsi"/>
          <w:sz w:val="22"/>
          <w:szCs w:val="22"/>
          <w:lang w:val="en-US"/>
        </w:rPr>
      </w:pPr>
      <w:r>
        <w:rPr>
          <w:rFonts w:asciiTheme="minorHAnsi" w:hAnsiTheme="minorHAnsi"/>
          <w:sz w:val="22"/>
          <w:szCs w:val="22"/>
          <w:lang w:val="en-US"/>
        </w:rPr>
        <w:t>Avec</w:t>
      </w:r>
    </w:p>
    <w:p w:rsidR="00ED6D27" w:rsidRDefault="00ED6D27" w:rsidP="00A3704C">
      <w:pPr>
        <w:autoSpaceDE w:val="0"/>
        <w:rPr>
          <w:rFonts w:asciiTheme="minorHAnsi" w:hAnsiTheme="minorHAnsi"/>
          <w:sz w:val="22"/>
          <w:szCs w:val="22"/>
          <w:lang w:val="en-US"/>
        </w:rPr>
      </w:pPr>
    </w:p>
    <w:tbl>
      <w:tblPr>
        <w:tblStyle w:val="Grilledutableau"/>
        <w:tblW w:w="9918" w:type="dxa"/>
        <w:tblLook w:val="04A0" w:firstRow="1" w:lastRow="0" w:firstColumn="1" w:lastColumn="0" w:noHBand="0" w:noVBand="1"/>
      </w:tblPr>
      <w:tblGrid>
        <w:gridCol w:w="6658"/>
        <w:gridCol w:w="1701"/>
        <w:gridCol w:w="1559"/>
      </w:tblGrid>
      <w:tr w:rsidR="00ED6D27" w:rsidRPr="00ED6D27" w:rsidTr="00ED6D27">
        <w:tc>
          <w:tcPr>
            <w:tcW w:w="6658" w:type="dxa"/>
          </w:tcPr>
          <w:p w:rsidR="00ED6D27" w:rsidRPr="00A44681" w:rsidRDefault="00ED6D27" w:rsidP="00A3704C">
            <w:pPr>
              <w:autoSpaceDE w:val="0"/>
              <w:rPr>
                <w:rFonts w:asciiTheme="minorHAnsi" w:hAnsiTheme="minorHAnsi"/>
                <w:sz w:val="22"/>
                <w:szCs w:val="22"/>
              </w:rPr>
            </w:pPr>
            <w:r w:rsidRPr="00A44681">
              <w:rPr>
                <w:rFonts w:asciiTheme="minorHAnsi" w:hAnsiTheme="minorHAnsi"/>
                <w:sz w:val="22"/>
                <w:szCs w:val="22"/>
              </w:rPr>
              <w:t>Index : Indice TP01 utilisé pour le calcul du montant de référence des garanties financières fixé dans l’arrêté préfectoral</w:t>
            </w:r>
          </w:p>
        </w:tc>
        <w:tc>
          <w:tcPr>
            <w:tcW w:w="1701" w:type="dxa"/>
          </w:tcPr>
          <w:p w:rsidR="00ED6D27" w:rsidRPr="00B73C1F" w:rsidRDefault="00B73C1F" w:rsidP="00A3704C">
            <w:pPr>
              <w:autoSpaceDE w:val="0"/>
              <w:rPr>
                <w:rFonts w:asciiTheme="minorHAnsi" w:hAnsiTheme="minorHAnsi"/>
                <w:sz w:val="22"/>
                <w:szCs w:val="22"/>
              </w:rPr>
            </w:pPr>
            <w:r w:rsidRPr="00B73C1F">
              <w:rPr>
                <w:rFonts w:asciiTheme="minorHAnsi" w:hAnsiTheme="minorHAnsi"/>
                <w:sz w:val="22"/>
                <w:szCs w:val="22"/>
              </w:rPr>
              <w:t>701,8</w:t>
            </w:r>
          </w:p>
        </w:tc>
        <w:tc>
          <w:tcPr>
            <w:tcW w:w="1559" w:type="dxa"/>
          </w:tcPr>
          <w:p w:rsidR="00ED6D27" w:rsidRPr="00ED6D27" w:rsidRDefault="00ED6D27" w:rsidP="00A3704C">
            <w:pPr>
              <w:autoSpaceDE w:val="0"/>
              <w:rPr>
                <w:rFonts w:asciiTheme="minorHAnsi" w:hAnsiTheme="minorHAnsi"/>
                <w:sz w:val="22"/>
                <w:szCs w:val="22"/>
              </w:rPr>
            </w:pPr>
          </w:p>
        </w:tc>
      </w:tr>
      <w:tr w:rsidR="00ED6D27" w:rsidRPr="00ED6D27" w:rsidTr="00ED6D27">
        <w:tc>
          <w:tcPr>
            <w:tcW w:w="6658" w:type="dxa"/>
          </w:tcPr>
          <w:p w:rsidR="00ED6D27" w:rsidRPr="00ED6D27" w:rsidRDefault="00ED6D27" w:rsidP="00A3704C">
            <w:pPr>
              <w:autoSpaceDE w:val="0"/>
              <w:rPr>
                <w:rFonts w:asciiTheme="minorHAnsi" w:hAnsiTheme="minorHAnsi"/>
                <w:sz w:val="22"/>
                <w:szCs w:val="22"/>
              </w:rPr>
            </w:pPr>
            <w:r>
              <w:rPr>
                <w:rFonts w:asciiTheme="minorHAnsi" w:hAnsiTheme="minorHAnsi"/>
                <w:sz w:val="22"/>
                <w:szCs w:val="22"/>
              </w:rPr>
              <w:t>Index0 : Indice TP01 de janvier 2011</w:t>
            </w:r>
          </w:p>
        </w:tc>
        <w:tc>
          <w:tcPr>
            <w:tcW w:w="1701" w:type="dxa"/>
          </w:tcPr>
          <w:p w:rsidR="00ED6D27" w:rsidRPr="000068E3" w:rsidRDefault="00ED6D27" w:rsidP="00A3704C">
            <w:pPr>
              <w:autoSpaceDE w:val="0"/>
              <w:rPr>
                <w:rFonts w:asciiTheme="minorHAnsi" w:hAnsiTheme="minorHAnsi"/>
                <w:sz w:val="22"/>
                <w:szCs w:val="22"/>
              </w:rPr>
            </w:pPr>
            <w:r w:rsidRPr="000068E3">
              <w:rPr>
                <w:rFonts w:asciiTheme="minorHAnsi" w:hAnsiTheme="minorHAnsi"/>
                <w:sz w:val="22"/>
                <w:szCs w:val="22"/>
              </w:rPr>
              <w:t>667,7</w:t>
            </w:r>
          </w:p>
        </w:tc>
        <w:tc>
          <w:tcPr>
            <w:tcW w:w="1559" w:type="dxa"/>
          </w:tcPr>
          <w:p w:rsidR="00ED6D27" w:rsidRPr="00ED6D27" w:rsidRDefault="00ED6D27" w:rsidP="00A3704C">
            <w:pPr>
              <w:autoSpaceDE w:val="0"/>
              <w:rPr>
                <w:rFonts w:asciiTheme="minorHAnsi" w:hAnsiTheme="minorHAnsi"/>
                <w:sz w:val="22"/>
                <w:szCs w:val="22"/>
              </w:rPr>
            </w:pPr>
          </w:p>
        </w:tc>
      </w:tr>
      <w:tr w:rsidR="00ED6D27" w:rsidRPr="00ED6D27" w:rsidTr="00ED6D27">
        <w:tc>
          <w:tcPr>
            <w:tcW w:w="6658" w:type="dxa"/>
          </w:tcPr>
          <w:p w:rsidR="00ED6D27" w:rsidRPr="00ED6D27" w:rsidRDefault="00ED6D27" w:rsidP="00A3704C">
            <w:pPr>
              <w:autoSpaceDE w:val="0"/>
              <w:rPr>
                <w:rFonts w:asciiTheme="minorHAnsi" w:hAnsiTheme="minorHAnsi"/>
                <w:sz w:val="22"/>
                <w:szCs w:val="22"/>
              </w:rPr>
            </w:pPr>
            <w:r>
              <w:rPr>
                <w:rFonts w:asciiTheme="minorHAnsi" w:hAnsiTheme="minorHAnsi"/>
                <w:sz w:val="22"/>
                <w:szCs w:val="22"/>
              </w:rPr>
              <w:t>TVAr Taux de TVA applicable lors de l’établissement de l’arrêté préfectoral fixant le montant des garanties financières</w:t>
            </w:r>
          </w:p>
        </w:tc>
        <w:tc>
          <w:tcPr>
            <w:tcW w:w="1701" w:type="dxa"/>
          </w:tcPr>
          <w:p w:rsidR="00ED6D27" w:rsidRPr="00ED6D27" w:rsidRDefault="00ED6D27" w:rsidP="00A3704C">
            <w:pPr>
              <w:autoSpaceDE w:val="0"/>
              <w:rPr>
                <w:rFonts w:asciiTheme="minorHAnsi" w:hAnsiTheme="minorHAnsi"/>
                <w:sz w:val="22"/>
                <w:szCs w:val="22"/>
              </w:rPr>
            </w:pPr>
            <w:r>
              <w:rPr>
                <w:rFonts w:asciiTheme="minorHAnsi" w:hAnsiTheme="minorHAnsi"/>
                <w:sz w:val="22"/>
                <w:szCs w:val="22"/>
              </w:rPr>
              <w:t>20</w:t>
            </w:r>
          </w:p>
        </w:tc>
        <w:tc>
          <w:tcPr>
            <w:tcW w:w="1559" w:type="dxa"/>
          </w:tcPr>
          <w:p w:rsidR="00ED6D27" w:rsidRPr="00ED6D27" w:rsidRDefault="00ED6D27" w:rsidP="00A3704C">
            <w:pPr>
              <w:autoSpaceDE w:val="0"/>
              <w:rPr>
                <w:rFonts w:asciiTheme="minorHAnsi" w:hAnsiTheme="minorHAnsi"/>
                <w:sz w:val="22"/>
                <w:szCs w:val="22"/>
              </w:rPr>
            </w:pPr>
            <w:r>
              <w:rPr>
                <w:rFonts w:asciiTheme="minorHAnsi" w:hAnsiTheme="minorHAnsi"/>
                <w:sz w:val="22"/>
                <w:szCs w:val="22"/>
              </w:rPr>
              <w:t>%</w:t>
            </w:r>
          </w:p>
        </w:tc>
      </w:tr>
      <w:tr w:rsidR="00ED6D27" w:rsidRPr="00ED6D27" w:rsidTr="00ED6D27">
        <w:tc>
          <w:tcPr>
            <w:tcW w:w="6658" w:type="dxa"/>
          </w:tcPr>
          <w:p w:rsidR="00ED6D27" w:rsidRDefault="00ED6D27" w:rsidP="00A3704C">
            <w:pPr>
              <w:autoSpaceDE w:val="0"/>
              <w:rPr>
                <w:rFonts w:asciiTheme="minorHAnsi" w:hAnsiTheme="minorHAnsi"/>
                <w:sz w:val="22"/>
                <w:szCs w:val="22"/>
              </w:rPr>
            </w:pPr>
            <w:r>
              <w:rPr>
                <w:rFonts w:asciiTheme="minorHAnsi" w:hAnsiTheme="minorHAnsi"/>
                <w:sz w:val="22"/>
                <w:szCs w:val="22"/>
              </w:rPr>
              <w:t>TVA0 : Taux de TVA applicable en janvier 2011</w:t>
            </w:r>
          </w:p>
        </w:tc>
        <w:tc>
          <w:tcPr>
            <w:tcW w:w="1701" w:type="dxa"/>
          </w:tcPr>
          <w:p w:rsidR="00ED6D27" w:rsidRPr="000068E3" w:rsidRDefault="00ED6D27" w:rsidP="00A3704C">
            <w:pPr>
              <w:autoSpaceDE w:val="0"/>
              <w:rPr>
                <w:rFonts w:asciiTheme="minorHAnsi" w:hAnsiTheme="minorHAnsi"/>
                <w:sz w:val="22"/>
                <w:szCs w:val="22"/>
              </w:rPr>
            </w:pPr>
            <w:r w:rsidRPr="000068E3">
              <w:rPr>
                <w:rFonts w:asciiTheme="minorHAnsi" w:hAnsiTheme="minorHAnsi"/>
                <w:sz w:val="22"/>
                <w:szCs w:val="22"/>
              </w:rPr>
              <w:t>19,6</w:t>
            </w:r>
          </w:p>
        </w:tc>
        <w:tc>
          <w:tcPr>
            <w:tcW w:w="1559" w:type="dxa"/>
          </w:tcPr>
          <w:p w:rsidR="00ED6D27" w:rsidRDefault="00ED6D27" w:rsidP="00A3704C">
            <w:pPr>
              <w:autoSpaceDE w:val="0"/>
              <w:rPr>
                <w:rFonts w:asciiTheme="minorHAnsi" w:hAnsiTheme="minorHAnsi"/>
                <w:sz w:val="22"/>
                <w:szCs w:val="22"/>
              </w:rPr>
            </w:pPr>
            <w:r>
              <w:rPr>
                <w:rFonts w:asciiTheme="minorHAnsi" w:hAnsiTheme="minorHAnsi"/>
                <w:sz w:val="22"/>
                <w:szCs w:val="22"/>
              </w:rPr>
              <w:t>%</w:t>
            </w:r>
          </w:p>
        </w:tc>
      </w:tr>
      <w:tr w:rsidR="00ED6D27" w:rsidRPr="00ED6D27" w:rsidTr="00ED6D27">
        <w:tc>
          <w:tcPr>
            <w:tcW w:w="6658" w:type="dxa"/>
          </w:tcPr>
          <w:p w:rsidR="00ED6D27" w:rsidRDefault="00ED6D27" w:rsidP="00A3704C">
            <w:pPr>
              <w:autoSpaceDE w:val="0"/>
              <w:rPr>
                <w:rFonts w:asciiTheme="minorHAnsi" w:hAnsiTheme="minorHAnsi"/>
                <w:sz w:val="22"/>
                <w:szCs w:val="22"/>
              </w:rPr>
            </w:pPr>
            <w:r>
              <w:rPr>
                <w:rFonts w:asciiTheme="minorHAnsi" w:hAnsiTheme="minorHAnsi"/>
                <w:sz w:val="22"/>
                <w:szCs w:val="22"/>
              </w:rPr>
              <w:t xml:space="preserve">Total </w:t>
            </w:r>
            <w:r>
              <w:rPr>
                <w:rFonts w:ascii="Calibri" w:hAnsi="Calibri"/>
                <w:sz w:val="22"/>
                <w:szCs w:val="22"/>
              </w:rPr>
              <w:t>α</w:t>
            </w:r>
          </w:p>
        </w:tc>
        <w:tc>
          <w:tcPr>
            <w:tcW w:w="1701" w:type="dxa"/>
          </w:tcPr>
          <w:p w:rsidR="00ED6D27" w:rsidRDefault="00ED6D27" w:rsidP="00B73C1F">
            <w:pPr>
              <w:autoSpaceDE w:val="0"/>
              <w:rPr>
                <w:rFonts w:asciiTheme="minorHAnsi" w:hAnsiTheme="minorHAnsi"/>
                <w:sz w:val="22"/>
                <w:szCs w:val="22"/>
              </w:rPr>
            </w:pPr>
            <w:r>
              <w:rPr>
                <w:rFonts w:asciiTheme="minorHAnsi" w:hAnsiTheme="minorHAnsi"/>
                <w:sz w:val="22"/>
                <w:szCs w:val="22"/>
              </w:rPr>
              <w:t>1,0</w:t>
            </w:r>
            <w:r w:rsidR="00B73C1F">
              <w:rPr>
                <w:rFonts w:asciiTheme="minorHAnsi" w:hAnsiTheme="minorHAnsi"/>
                <w:sz w:val="22"/>
                <w:szCs w:val="22"/>
              </w:rPr>
              <w:t>7</w:t>
            </w:r>
          </w:p>
        </w:tc>
        <w:tc>
          <w:tcPr>
            <w:tcW w:w="1559" w:type="dxa"/>
          </w:tcPr>
          <w:p w:rsidR="00ED6D27" w:rsidRDefault="00ED6D27" w:rsidP="00A3704C">
            <w:pPr>
              <w:autoSpaceDE w:val="0"/>
              <w:rPr>
                <w:rFonts w:asciiTheme="minorHAnsi" w:hAnsiTheme="minorHAnsi"/>
                <w:sz w:val="22"/>
                <w:szCs w:val="22"/>
              </w:rPr>
            </w:pPr>
          </w:p>
        </w:tc>
      </w:tr>
    </w:tbl>
    <w:p w:rsidR="00ED6D27" w:rsidRDefault="00ED6D27" w:rsidP="00A3704C">
      <w:pPr>
        <w:autoSpaceDE w:val="0"/>
        <w:rPr>
          <w:rFonts w:asciiTheme="minorHAnsi" w:hAnsiTheme="minorHAnsi"/>
          <w:sz w:val="22"/>
          <w:szCs w:val="22"/>
        </w:rPr>
      </w:pPr>
    </w:p>
    <w:p w:rsidR="00E2458F" w:rsidRDefault="00E2458F" w:rsidP="00A3704C">
      <w:pPr>
        <w:autoSpaceDE w:val="0"/>
        <w:rPr>
          <w:rFonts w:asciiTheme="minorHAnsi" w:hAnsiTheme="minorHAnsi"/>
          <w:sz w:val="22"/>
          <w:szCs w:val="22"/>
        </w:rPr>
      </w:pPr>
      <w:r>
        <w:rPr>
          <w:rFonts w:asciiTheme="minorHAnsi" w:hAnsiTheme="minorHAnsi"/>
          <w:sz w:val="22"/>
          <w:szCs w:val="22"/>
        </w:rPr>
        <w:t xml:space="preserve">NB : L’indice TP01 pris comme Index est celui de </w:t>
      </w:r>
      <w:r w:rsidR="00B73C1F">
        <w:rPr>
          <w:rFonts w:asciiTheme="minorHAnsi" w:hAnsiTheme="minorHAnsi"/>
          <w:sz w:val="22"/>
          <w:szCs w:val="22"/>
        </w:rPr>
        <w:t>février</w:t>
      </w:r>
      <w:r>
        <w:rPr>
          <w:rFonts w:asciiTheme="minorHAnsi" w:hAnsiTheme="minorHAnsi"/>
          <w:sz w:val="22"/>
          <w:szCs w:val="22"/>
        </w:rPr>
        <w:t xml:space="preserve"> 201</w:t>
      </w:r>
      <w:r w:rsidR="00B73C1F">
        <w:rPr>
          <w:rFonts w:asciiTheme="minorHAnsi" w:hAnsiTheme="minorHAnsi"/>
          <w:sz w:val="22"/>
          <w:szCs w:val="22"/>
        </w:rPr>
        <w:t>8, dernier indice</w:t>
      </w:r>
      <w:r>
        <w:rPr>
          <w:rFonts w:asciiTheme="minorHAnsi" w:hAnsiTheme="minorHAnsi"/>
          <w:sz w:val="22"/>
          <w:szCs w:val="22"/>
        </w:rPr>
        <w:t xml:space="preserve"> disponible sur le site de l’</w:t>
      </w:r>
      <w:r w:rsidR="00B73C1F">
        <w:rPr>
          <w:rFonts w:asciiTheme="minorHAnsi" w:hAnsiTheme="minorHAnsi"/>
          <w:sz w:val="22"/>
          <w:szCs w:val="22"/>
        </w:rPr>
        <w:t>INSEE, d’une valeur de 107,4. Afin de pouvoir le comparer avec l’indice de 2011 présenté dans une base différente, un facteur de correction de 6,5345 lui est appliqué (facteur de raccordement calculé sur la base du mois de septembre 2014). Source : INSEE</w:t>
      </w:r>
    </w:p>
    <w:p w:rsidR="00C34937" w:rsidRDefault="00C34937" w:rsidP="00A3704C">
      <w:pPr>
        <w:autoSpaceDE w:val="0"/>
        <w:rPr>
          <w:rFonts w:asciiTheme="minorHAnsi" w:hAnsiTheme="minorHAnsi"/>
          <w:sz w:val="22"/>
          <w:szCs w:val="22"/>
        </w:rPr>
      </w:pPr>
    </w:p>
    <w:p w:rsidR="00ED6D27" w:rsidRDefault="00ED6D27" w:rsidP="00A3704C">
      <w:pPr>
        <w:autoSpaceDE w:val="0"/>
        <w:rPr>
          <w:rFonts w:asciiTheme="minorHAnsi" w:hAnsiTheme="minorHAnsi"/>
          <w:sz w:val="22"/>
          <w:szCs w:val="22"/>
        </w:rPr>
      </w:pPr>
    </w:p>
    <w:p w:rsidR="00ED6D27" w:rsidRPr="00C34937" w:rsidRDefault="00ED6D27" w:rsidP="00A3704C">
      <w:pPr>
        <w:autoSpaceDE w:val="0"/>
        <w:rPr>
          <w:rFonts w:ascii="Arial" w:eastAsia="Arial" w:hAnsi="Arial" w:cs="Arial"/>
          <w:color w:val="1F4E79" w:themeColor="accent1" w:themeShade="80"/>
          <w:sz w:val="32"/>
          <w:szCs w:val="32"/>
        </w:rPr>
      </w:pPr>
      <w:r w:rsidRPr="00C34937">
        <w:rPr>
          <w:rFonts w:ascii="Arial" w:eastAsia="Arial" w:hAnsi="Arial" w:cs="Arial"/>
          <w:color w:val="1F4E79" w:themeColor="accent1" w:themeShade="80"/>
          <w:sz w:val="32"/>
          <w:szCs w:val="32"/>
        </w:rPr>
        <w:t>8. MONTANT GLOBAL DE LA GARANTIE FINANCIERE</w:t>
      </w:r>
    </w:p>
    <w:p w:rsidR="00ED6D27" w:rsidRDefault="00ED6D27" w:rsidP="00A3704C">
      <w:pPr>
        <w:autoSpaceDE w:val="0"/>
        <w:rPr>
          <w:rFonts w:asciiTheme="minorHAnsi" w:hAnsiTheme="minorHAnsi"/>
          <w:sz w:val="22"/>
          <w:szCs w:val="22"/>
        </w:rPr>
      </w:pPr>
    </w:p>
    <w:p w:rsidR="00ED6D27" w:rsidRDefault="00ED6D27" w:rsidP="00A3704C">
      <w:pPr>
        <w:autoSpaceDE w:val="0"/>
        <w:rPr>
          <w:rFonts w:asciiTheme="minorHAnsi" w:hAnsiTheme="minorHAnsi"/>
          <w:sz w:val="22"/>
          <w:szCs w:val="22"/>
        </w:rPr>
      </w:pPr>
      <w:r>
        <w:rPr>
          <w:rFonts w:asciiTheme="minorHAnsi" w:hAnsiTheme="minorHAnsi"/>
          <w:sz w:val="22"/>
          <w:szCs w:val="22"/>
        </w:rPr>
        <w:t>Le montant global de la garantie financière (M) est le suivant :</w:t>
      </w:r>
    </w:p>
    <w:p w:rsidR="00ED6D27" w:rsidRDefault="00ED6D27" w:rsidP="00A3704C">
      <w:pPr>
        <w:autoSpaceDE w:val="0"/>
        <w:rPr>
          <w:rFonts w:asciiTheme="minorHAnsi" w:hAnsiTheme="minorHAnsi"/>
          <w:sz w:val="22"/>
          <w:szCs w:val="22"/>
        </w:rPr>
      </w:pPr>
    </w:p>
    <w:p w:rsidR="00ED6D27" w:rsidRDefault="00ED6D27" w:rsidP="00ED6D27">
      <w:pPr>
        <w:autoSpaceDE w:val="0"/>
        <w:jc w:val="center"/>
        <w:rPr>
          <w:rFonts w:asciiTheme="minorHAnsi" w:eastAsia="Arial" w:hAnsiTheme="minorHAnsi" w:cs="Arial"/>
          <w:b/>
          <w:bCs/>
          <w:color w:val="000000"/>
          <w:sz w:val="32"/>
          <w:szCs w:val="22"/>
        </w:rPr>
      </w:pPr>
      <w:r>
        <w:rPr>
          <w:rFonts w:asciiTheme="minorHAnsi" w:hAnsiTheme="minorHAnsi"/>
          <w:sz w:val="22"/>
          <w:szCs w:val="22"/>
        </w:rPr>
        <w:t>M=</w:t>
      </w:r>
      <w:r w:rsidRPr="00ED6D27">
        <w:rPr>
          <w:rFonts w:asciiTheme="minorHAnsi" w:eastAsia="Arial" w:hAnsiTheme="minorHAnsi" w:cs="Arial"/>
          <w:b/>
          <w:bCs/>
          <w:color w:val="000000"/>
          <w:sz w:val="32"/>
          <w:szCs w:val="22"/>
        </w:rPr>
        <w:t xml:space="preserve"> </w:t>
      </w:r>
      <w:r w:rsidRPr="00A3704C">
        <w:rPr>
          <w:rFonts w:asciiTheme="minorHAnsi" w:eastAsia="Arial" w:hAnsiTheme="minorHAnsi" w:cs="Arial"/>
          <w:b/>
          <w:bCs/>
          <w:color w:val="000000"/>
          <w:sz w:val="32"/>
          <w:szCs w:val="22"/>
        </w:rPr>
        <w:t>Sc x [</w:t>
      </w:r>
      <w:r>
        <w:rPr>
          <w:rFonts w:asciiTheme="minorHAnsi" w:eastAsia="Arial" w:hAnsiTheme="minorHAnsi" w:cs="Arial"/>
          <w:b/>
          <w:bCs/>
          <w:color w:val="000000"/>
          <w:sz w:val="32"/>
          <w:szCs w:val="22"/>
        </w:rPr>
        <w:t>Me + α (Mi + Mc + Ms + Mg)]</w:t>
      </w:r>
    </w:p>
    <w:p w:rsidR="00ED6D27" w:rsidRDefault="00ED6D27" w:rsidP="00ED6D27">
      <w:pPr>
        <w:autoSpaceDE w:val="0"/>
        <w:jc w:val="center"/>
        <w:rPr>
          <w:rFonts w:asciiTheme="minorHAnsi" w:eastAsia="Arial" w:hAnsiTheme="minorHAnsi" w:cs="Arial"/>
          <w:b/>
          <w:bCs/>
          <w:color w:val="000000"/>
          <w:sz w:val="32"/>
          <w:szCs w:val="22"/>
        </w:rPr>
      </w:pPr>
    </w:p>
    <w:p w:rsidR="008918A3" w:rsidRPr="000068E3" w:rsidRDefault="008918A3" w:rsidP="008918A3">
      <w:pPr>
        <w:autoSpaceDE w:val="0"/>
        <w:jc w:val="center"/>
        <w:rPr>
          <w:rFonts w:asciiTheme="minorHAnsi" w:eastAsia="Arial" w:hAnsiTheme="minorHAnsi" w:cs="Arial"/>
          <w:b/>
          <w:bCs/>
          <w:color w:val="000000"/>
          <w:sz w:val="32"/>
          <w:szCs w:val="22"/>
          <w:highlight w:val="yellow"/>
        </w:rPr>
      </w:pPr>
      <w:r w:rsidRPr="008918A3">
        <w:rPr>
          <w:rFonts w:asciiTheme="minorHAnsi" w:eastAsia="Arial" w:hAnsiTheme="minorHAnsi" w:cs="Arial"/>
          <w:b/>
          <w:bCs/>
          <w:color w:val="000000"/>
          <w:sz w:val="32"/>
          <w:szCs w:val="22"/>
        </w:rPr>
        <w:t>M</w:t>
      </w:r>
      <w:r>
        <w:rPr>
          <w:rFonts w:asciiTheme="minorHAnsi" w:eastAsia="Arial" w:hAnsiTheme="minorHAnsi" w:cs="Arial"/>
          <w:b/>
          <w:bCs/>
          <w:color w:val="000000"/>
          <w:sz w:val="32"/>
          <w:szCs w:val="22"/>
        </w:rPr>
        <w:t xml:space="preserve"> </w:t>
      </w:r>
      <w:r w:rsidRPr="008918A3">
        <w:rPr>
          <w:rFonts w:asciiTheme="minorHAnsi" w:eastAsia="Arial" w:hAnsiTheme="minorHAnsi" w:cs="Arial"/>
          <w:b/>
          <w:bCs/>
          <w:color w:val="000000"/>
          <w:sz w:val="32"/>
          <w:szCs w:val="22"/>
        </w:rPr>
        <w:t xml:space="preserve">= </w:t>
      </w:r>
      <w:r w:rsidRPr="00B73C1F">
        <w:rPr>
          <w:rFonts w:asciiTheme="minorHAnsi" w:eastAsia="Arial" w:hAnsiTheme="minorHAnsi" w:cs="Arial"/>
          <w:b/>
          <w:bCs/>
          <w:color w:val="000000"/>
          <w:sz w:val="32"/>
          <w:szCs w:val="22"/>
        </w:rPr>
        <w:t xml:space="preserve">1,10 x </w:t>
      </w:r>
      <w:r w:rsidRPr="00F81BBB">
        <w:rPr>
          <w:rFonts w:asciiTheme="minorHAnsi" w:eastAsia="Arial" w:hAnsiTheme="minorHAnsi" w:cs="Arial"/>
          <w:b/>
          <w:bCs/>
          <w:color w:val="000000"/>
          <w:sz w:val="32"/>
          <w:szCs w:val="22"/>
        </w:rPr>
        <w:t>(</w:t>
      </w:r>
      <w:r w:rsidR="00F81BBB" w:rsidRPr="00F81BBB">
        <w:rPr>
          <w:rFonts w:asciiTheme="minorHAnsi" w:eastAsia="Arial" w:hAnsiTheme="minorHAnsi" w:cs="Arial"/>
          <w:b/>
          <w:bCs/>
          <w:color w:val="000000"/>
          <w:sz w:val="32"/>
          <w:szCs w:val="22"/>
        </w:rPr>
        <w:t>2822</w:t>
      </w:r>
      <w:r w:rsidRPr="00F81BBB">
        <w:rPr>
          <w:rFonts w:asciiTheme="minorHAnsi" w:eastAsia="Arial" w:hAnsiTheme="minorHAnsi" w:cs="Arial"/>
          <w:b/>
          <w:bCs/>
          <w:color w:val="000000"/>
          <w:sz w:val="32"/>
          <w:szCs w:val="22"/>
        </w:rPr>
        <w:t xml:space="preserve"> </w:t>
      </w:r>
      <w:r w:rsidRPr="00B73C1F">
        <w:rPr>
          <w:rFonts w:asciiTheme="minorHAnsi" w:eastAsia="Arial" w:hAnsiTheme="minorHAnsi" w:cs="Arial"/>
          <w:b/>
          <w:bCs/>
          <w:color w:val="000000"/>
          <w:sz w:val="32"/>
          <w:szCs w:val="22"/>
        </w:rPr>
        <w:t>+ 1,0</w:t>
      </w:r>
      <w:r w:rsidR="00B73C1F" w:rsidRPr="00B73C1F">
        <w:rPr>
          <w:rFonts w:asciiTheme="minorHAnsi" w:eastAsia="Arial" w:hAnsiTheme="minorHAnsi" w:cs="Arial"/>
          <w:b/>
          <w:bCs/>
          <w:color w:val="000000"/>
          <w:sz w:val="32"/>
          <w:szCs w:val="22"/>
        </w:rPr>
        <w:t>7</w:t>
      </w:r>
      <w:r w:rsidRPr="00B73C1F">
        <w:rPr>
          <w:rFonts w:asciiTheme="minorHAnsi" w:eastAsia="Arial" w:hAnsiTheme="minorHAnsi" w:cs="Arial"/>
          <w:b/>
          <w:bCs/>
          <w:color w:val="000000"/>
          <w:sz w:val="32"/>
          <w:szCs w:val="22"/>
        </w:rPr>
        <w:t xml:space="preserve"> x (0 + </w:t>
      </w:r>
      <w:r w:rsidR="00B73C1F" w:rsidRPr="00B73C1F">
        <w:rPr>
          <w:rFonts w:asciiTheme="minorHAnsi" w:eastAsia="Arial" w:hAnsiTheme="minorHAnsi" w:cs="Arial"/>
          <w:b/>
          <w:bCs/>
          <w:color w:val="000000"/>
          <w:sz w:val="32"/>
          <w:szCs w:val="22"/>
        </w:rPr>
        <w:t>150</w:t>
      </w:r>
      <w:r w:rsidRPr="00B73C1F">
        <w:rPr>
          <w:rFonts w:asciiTheme="minorHAnsi" w:eastAsia="Arial" w:hAnsiTheme="minorHAnsi" w:cs="Arial"/>
          <w:b/>
          <w:bCs/>
          <w:color w:val="000000"/>
          <w:sz w:val="32"/>
          <w:szCs w:val="22"/>
        </w:rPr>
        <w:t xml:space="preserve"> +</w:t>
      </w:r>
      <w:r w:rsidR="00B73C1F" w:rsidRPr="00B73C1F">
        <w:rPr>
          <w:rFonts w:asciiTheme="minorHAnsi" w:eastAsia="Arial" w:hAnsiTheme="minorHAnsi" w:cs="Arial"/>
          <w:b/>
          <w:bCs/>
          <w:color w:val="000000"/>
          <w:sz w:val="32"/>
          <w:szCs w:val="22"/>
        </w:rPr>
        <w:t>14</w:t>
      </w:r>
      <w:r w:rsidRPr="00B73C1F">
        <w:rPr>
          <w:rFonts w:asciiTheme="minorHAnsi" w:eastAsia="Arial" w:hAnsiTheme="minorHAnsi" w:cs="Arial"/>
          <w:b/>
          <w:bCs/>
          <w:color w:val="000000"/>
          <w:sz w:val="32"/>
          <w:szCs w:val="22"/>
        </w:rPr>
        <w:t>500 + 15000)</w:t>
      </w:r>
      <w:r w:rsidR="00B73C1F">
        <w:rPr>
          <w:rFonts w:asciiTheme="minorHAnsi" w:eastAsia="Arial" w:hAnsiTheme="minorHAnsi" w:cs="Arial"/>
          <w:b/>
          <w:bCs/>
          <w:color w:val="000000"/>
          <w:sz w:val="32"/>
          <w:szCs w:val="22"/>
        </w:rPr>
        <w:t>)</w:t>
      </w:r>
    </w:p>
    <w:p w:rsidR="00ED6D27" w:rsidRDefault="008918A3" w:rsidP="008918A3">
      <w:pPr>
        <w:autoSpaceDE w:val="0"/>
        <w:jc w:val="center"/>
        <w:rPr>
          <w:rFonts w:asciiTheme="minorHAnsi" w:eastAsia="Arial" w:hAnsiTheme="minorHAnsi" w:cs="Arial"/>
          <w:b/>
          <w:bCs/>
          <w:color w:val="000000"/>
          <w:sz w:val="32"/>
          <w:szCs w:val="22"/>
        </w:rPr>
      </w:pPr>
      <w:r w:rsidRPr="00F81BBB">
        <w:rPr>
          <w:rFonts w:asciiTheme="minorHAnsi" w:eastAsia="Arial" w:hAnsiTheme="minorHAnsi" w:cs="Arial"/>
          <w:b/>
          <w:bCs/>
          <w:color w:val="000000"/>
          <w:sz w:val="32"/>
          <w:szCs w:val="22"/>
        </w:rPr>
        <w:t>M= 3</w:t>
      </w:r>
      <w:r w:rsidR="00F81BBB" w:rsidRPr="00F81BBB">
        <w:rPr>
          <w:rFonts w:asciiTheme="minorHAnsi" w:eastAsia="Arial" w:hAnsiTheme="minorHAnsi" w:cs="Arial"/>
          <w:b/>
          <w:bCs/>
          <w:color w:val="000000"/>
          <w:sz w:val="32"/>
          <w:szCs w:val="22"/>
        </w:rPr>
        <w:t>8 002</w:t>
      </w:r>
      <w:r w:rsidRPr="00F81BBB">
        <w:rPr>
          <w:rFonts w:asciiTheme="minorHAnsi" w:eastAsia="Arial" w:hAnsiTheme="minorHAnsi" w:cs="Arial"/>
          <w:b/>
          <w:bCs/>
          <w:color w:val="000000"/>
          <w:sz w:val="32"/>
          <w:szCs w:val="22"/>
        </w:rPr>
        <w:t>,</w:t>
      </w:r>
      <w:r w:rsidR="00F81BBB" w:rsidRPr="00F81BBB">
        <w:rPr>
          <w:rFonts w:asciiTheme="minorHAnsi" w:eastAsia="Arial" w:hAnsiTheme="minorHAnsi" w:cs="Arial"/>
          <w:b/>
          <w:bCs/>
          <w:color w:val="000000"/>
          <w:sz w:val="32"/>
          <w:szCs w:val="22"/>
        </w:rPr>
        <w:t>25</w:t>
      </w:r>
      <w:r w:rsidRPr="00F81BBB">
        <w:rPr>
          <w:rFonts w:asciiTheme="minorHAnsi" w:eastAsia="Arial" w:hAnsiTheme="minorHAnsi" w:cs="Arial"/>
          <w:b/>
          <w:bCs/>
          <w:color w:val="000000"/>
          <w:sz w:val="32"/>
          <w:szCs w:val="22"/>
        </w:rPr>
        <w:t xml:space="preserve"> euros</w:t>
      </w:r>
    </w:p>
    <w:p w:rsidR="00ED6D27" w:rsidRDefault="00ED6D27" w:rsidP="00ED6D27">
      <w:pPr>
        <w:autoSpaceDE w:val="0"/>
        <w:jc w:val="center"/>
        <w:rPr>
          <w:rFonts w:asciiTheme="minorHAnsi" w:eastAsia="Arial" w:hAnsiTheme="minorHAnsi" w:cs="Arial"/>
          <w:b/>
          <w:bCs/>
          <w:color w:val="000000"/>
          <w:sz w:val="32"/>
          <w:szCs w:val="22"/>
        </w:rPr>
      </w:pPr>
    </w:p>
    <w:p w:rsidR="00ED6D27" w:rsidRDefault="00ED6D27" w:rsidP="00ED6D27">
      <w:pPr>
        <w:autoSpaceDE w:val="0"/>
        <w:rPr>
          <w:rFonts w:asciiTheme="minorHAnsi" w:eastAsia="Arial" w:hAnsiTheme="minorHAnsi" w:cs="Arial"/>
          <w:b/>
          <w:bCs/>
          <w:color w:val="000000"/>
          <w:sz w:val="32"/>
          <w:szCs w:val="22"/>
        </w:rPr>
      </w:pPr>
      <w:r>
        <w:rPr>
          <w:rFonts w:asciiTheme="minorHAnsi" w:eastAsia="Arial" w:hAnsiTheme="minorHAnsi" w:cs="Arial"/>
          <w:b/>
          <w:bCs/>
          <w:color w:val="000000"/>
          <w:sz w:val="32"/>
          <w:szCs w:val="22"/>
        </w:rPr>
        <w:t>Avec :</w:t>
      </w:r>
    </w:p>
    <w:p w:rsidR="00ED6D27" w:rsidRPr="00F81BBB" w:rsidRDefault="00ED6D27" w:rsidP="00C34937">
      <w:pPr>
        <w:autoSpaceDE w:val="0"/>
        <w:ind w:left="1416"/>
        <w:rPr>
          <w:rFonts w:asciiTheme="minorHAnsi" w:eastAsia="Arial" w:hAnsiTheme="minorHAnsi" w:cs="Arial"/>
          <w:bCs/>
          <w:color w:val="000000"/>
          <w:szCs w:val="22"/>
        </w:rPr>
      </w:pPr>
      <w:r w:rsidRPr="00F81BBB">
        <w:rPr>
          <w:rFonts w:asciiTheme="minorHAnsi" w:eastAsia="Arial" w:hAnsiTheme="minorHAnsi" w:cs="Arial"/>
          <w:bCs/>
          <w:color w:val="000000"/>
          <w:szCs w:val="22"/>
        </w:rPr>
        <w:t>Me =</w:t>
      </w:r>
      <w:r w:rsidR="00C34937" w:rsidRPr="00F81BBB">
        <w:rPr>
          <w:rFonts w:asciiTheme="minorHAnsi" w:eastAsia="Arial" w:hAnsiTheme="minorHAnsi" w:cs="Arial"/>
          <w:bCs/>
          <w:color w:val="000000"/>
          <w:szCs w:val="22"/>
        </w:rPr>
        <w:t xml:space="preserve"> </w:t>
      </w:r>
      <w:r w:rsidR="00F81BBB" w:rsidRPr="00F81BBB">
        <w:rPr>
          <w:rFonts w:asciiTheme="minorHAnsi" w:eastAsia="Arial" w:hAnsiTheme="minorHAnsi" w:cs="Arial"/>
          <w:bCs/>
          <w:color w:val="000000"/>
          <w:szCs w:val="22"/>
        </w:rPr>
        <w:t>2822</w:t>
      </w:r>
      <w:r w:rsidR="00C34937" w:rsidRPr="00F81BBB">
        <w:rPr>
          <w:rFonts w:asciiTheme="minorHAnsi" w:eastAsia="Arial" w:hAnsiTheme="minorHAnsi" w:cs="Arial"/>
          <w:bCs/>
          <w:color w:val="000000"/>
          <w:szCs w:val="22"/>
        </w:rPr>
        <w:t xml:space="preserve"> €</w:t>
      </w:r>
    </w:p>
    <w:p w:rsidR="00ED6D27" w:rsidRPr="00B73C1F" w:rsidRDefault="00ED6D27" w:rsidP="00C34937">
      <w:pPr>
        <w:autoSpaceDE w:val="0"/>
        <w:ind w:left="1416"/>
        <w:rPr>
          <w:rFonts w:asciiTheme="minorHAnsi" w:eastAsia="Arial" w:hAnsiTheme="minorHAnsi" w:cs="Arial"/>
          <w:bCs/>
          <w:color w:val="000000"/>
          <w:szCs w:val="22"/>
        </w:rPr>
      </w:pPr>
      <w:r w:rsidRPr="00B73C1F">
        <w:rPr>
          <w:rFonts w:asciiTheme="minorHAnsi" w:eastAsia="Arial" w:hAnsiTheme="minorHAnsi" w:cs="Arial"/>
          <w:bCs/>
          <w:color w:val="000000"/>
          <w:szCs w:val="22"/>
        </w:rPr>
        <w:t xml:space="preserve">Mi = </w:t>
      </w:r>
      <w:r w:rsidR="00C34937" w:rsidRPr="00B73C1F">
        <w:rPr>
          <w:rFonts w:asciiTheme="minorHAnsi" w:eastAsia="Arial" w:hAnsiTheme="minorHAnsi" w:cs="Arial"/>
          <w:bCs/>
          <w:color w:val="000000"/>
          <w:szCs w:val="22"/>
        </w:rPr>
        <w:t>0 €</w:t>
      </w:r>
    </w:p>
    <w:p w:rsidR="00ED6D27" w:rsidRPr="00B73C1F" w:rsidRDefault="00ED6D27" w:rsidP="00C34937">
      <w:pPr>
        <w:autoSpaceDE w:val="0"/>
        <w:ind w:left="1416"/>
        <w:rPr>
          <w:rFonts w:asciiTheme="minorHAnsi" w:eastAsia="Arial" w:hAnsiTheme="minorHAnsi" w:cs="Arial"/>
          <w:bCs/>
          <w:color w:val="000000"/>
          <w:szCs w:val="22"/>
        </w:rPr>
      </w:pPr>
      <w:r w:rsidRPr="00B73C1F">
        <w:rPr>
          <w:rFonts w:asciiTheme="minorHAnsi" w:eastAsia="Arial" w:hAnsiTheme="minorHAnsi" w:cs="Arial"/>
          <w:bCs/>
          <w:color w:val="000000"/>
          <w:szCs w:val="22"/>
        </w:rPr>
        <w:t>Mc =</w:t>
      </w:r>
      <w:r w:rsidR="00C34937" w:rsidRPr="00B73C1F">
        <w:rPr>
          <w:rFonts w:asciiTheme="minorHAnsi" w:eastAsia="Arial" w:hAnsiTheme="minorHAnsi" w:cs="Arial"/>
          <w:bCs/>
          <w:color w:val="000000"/>
          <w:szCs w:val="22"/>
        </w:rPr>
        <w:t xml:space="preserve"> </w:t>
      </w:r>
      <w:r w:rsidR="00B73C1F" w:rsidRPr="00B73C1F">
        <w:rPr>
          <w:rFonts w:asciiTheme="minorHAnsi" w:eastAsia="Arial" w:hAnsiTheme="minorHAnsi" w:cs="Arial"/>
          <w:bCs/>
          <w:color w:val="000000"/>
          <w:szCs w:val="22"/>
        </w:rPr>
        <w:t>150</w:t>
      </w:r>
      <w:r w:rsidR="00C34937" w:rsidRPr="00B73C1F">
        <w:rPr>
          <w:rFonts w:asciiTheme="minorHAnsi" w:eastAsia="Arial" w:hAnsiTheme="minorHAnsi" w:cs="Arial"/>
          <w:bCs/>
          <w:color w:val="000000"/>
          <w:szCs w:val="22"/>
        </w:rPr>
        <w:t xml:space="preserve"> €</w:t>
      </w:r>
    </w:p>
    <w:p w:rsidR="00ED6D27" w:rsidRPr="00B73C1F" w:rsidRDefault="00ED6D27" w:rsidP="00C34937">
      <w:pPr>
        <w:autoSpaceDE w:val="0"/>
        <w:ind w:left="1416"/>
        <w:rPr>
          <w:rFonts w:asciiTheme="minorHAnsi" w:eastAsia="Arial" w:hAnsiTheme="minorHAnsi" w:cs="Arial"/>
          <w:bCs/>
          <w:color w:val="000000"/>
          <w:szCs w:val="22"/>
        </w:rPr>
      </w:pPr>
      <w:r w:rsidRPr="00B73C1F">
        <w:rPr>
          <w:rFonts w:asciiTheme="minorHAnsi" w:eastAsia="Arial" w:hAnsiTheme="minorHAnsi" w:cs="Arial"/>
          <w:bCs/>
          <w:color w:val="000000"/>
          <w:szCs w:val="22"/>
        </w:rPr>
        <w:t>Ms =</w:t>
      </w:r>
      <w:r w:rsidR="00C34937" w:rsidRPr="00B73C1F">
        <w:rPr>
          <w:rFonts w:asciiTheme="minorHAnsi" w:eastAsia="Arial" w:hAnsiTheme="minorHAnsi" w:cs="Arial"/>
          <w:bCs/>
          <w:color w:val="000000"/>
          <w:szCs w:val="22"/>
        </w:rPr>
        <w:t xml:space="preserve"> 1</w:t>
      </w:r>
      <w:r w:rsidR="00B73C1F" w:rsidRPr="00B73C1F">
        <w:rPr>
          <w:rFonts w:asciiTheme="minorHAnsi" w:eastAsia="Arial" w:hAnsiTheme="minorHAnsi" w:cs="Arial"/>
          <w:bCs/>
          <w:color w:val="000000"/>
          <w:szCs w:val="22"/>
        </w:rPr>
        <w:t>4</w:t>
      </w:r>
      <w:r w:rsidR="00C34937" w:rsidRPr="00B73C1F">
        <w:rPr>
          <w:rFonts w:asciiTheme="minorHAnsi" w:eastAsia="Arial" w:hAnsiTheme="minorHAnsi" w:cs="Arial"/>
          <w:bCs/>
          <w:color w:val="000000"/>
          <w:szCs w:val="22"/>
        </w:rPr>
        <w:t>500 €</w:t>
      </w:r>
    </w:p>
    <w:p w:rsidR="00ED6D27" w:rsidRPr="00B73C1F" w:rsidRDefault="00ED6D27" w:rsidP="00C34937">
      <w:pPr>
        <w:autoSpaceDE w:val="0"/>
        <w:ind w:left="1416"/>
        <w:rPr>
          <w:rFonts w:asciiTheme="minorHAnsi" w:eastAsia="Arial" w:hAnsiTheme="minorHAnsi" w:cs="Arial"/>
          <w:bCs/>
          <w:color w:val="000000"/>
          <w:szCs w:val="22"/>
        </w:rPr>
      </w:pPr>
      <w:r w:rsidRPr="00B73C1F">
        <w:rPr>
          <w:rFonts w:asciiTheme="minorHAnsi" w:eastAsia="Arial" w:hAnsiTheme="minorHAnsi" w:cs="Arial"/>
          <w:bCs/>
          <w:color w:val="000000"/>
          <w:szCs w:val="22"/>
        </w:rPr>
        <w:t>Mg =</w:t>
      </w:r>
      <w:r w:rsidR="00C34937" w:rsidRPr="00B73C1F">
        <w:rPr>
          <w:rFonts w:asciiTheme="minorHAnsi" w:eastAsia="Arial" w:hAnsiTheme="minorHAnsi" w:cs="Arial"/>
          <w:bCs/>
          <w:color w:val="000000"/>
          <w:szCs w:val="22"/>
        </w:rPr>
        <w:t xml:space="preserve"> 15000 €</w:t>
      </w:r>
    </w:p>
    <w:p w:rsidR="00ED6D27" w:rsidRPr="00C34937" w:rsidRDefault="00ED6D27" w:rsidP="00C34937">
      <w:pPr>
        <w:autoSpaceDE w:val="0"/>
        <w:ind w:left="1416"/>
        <w:rPr>
          <w:rFonts w:asciiTheme="minorHAnsi" w:eastAsia="Arial" w:hAnsiTheme="minorHAnsi" w:cs="Arial"/>
          <w:bCs/>
          <w:color w:val="000000"/>
          <w:szCs w:val="22"/>
        </w:rPr>
      </w:pPr>
      <w:r w:rsidRPr="00B73C1F">
        <w:rPr>
          <w:rFonts w:asciiTheme="minorHAnsi" w:eastAsia="Arial" w:hAnsiTheme="minorHAnsi" w:cs="Arial"/>
          <w:bCs/>
          <w:color w:val="000000"/>
          <w:szCs w:val="22"/>
        </w:rPr>
        <w:t>Sc =</w:t>
      </w:r>
      <w:r w:rsidR="00C34937" w:rsidRPr="00B73C1F">
        <w:rPr>
          <w:rFonts w:asciiTheme="minorHAnsi" w:eastAsia="Arial" w:hAnsiTheme="minorHAnsi" w:cs="Arial"/>
          <w:bCs/>
          <w:color w:val="000000"/>
          <w:szCs w:val="22"/>
        </w:rPr>
        <w:t xml:space="preserve"> 1,10</w:t>
      </w:r>
    </w:p>
    <w:p w:rsidR="00ED6D27" w:rsidRPr="00C34937" w:rsidRDefault="00ED6D27" w:rsidP="00C34937">
      <w:pPr>
        <w:autoSpaceDE w:val="0"/>
        <w:ind w:left="1416"/>
        <w:rPr>
          <w:rFonts w:asciiTheme="minorHAnsi" w:hAnsiTheme="minorHAnsi"/>
          <w:sz w:val="18"/>
          <w:szCs w:val="22"/>
        </w:rPr>
      </w:pPr>
      <w:r w:rsidRPr="00FB6539">
        <w:rPr>
          <w:rFonts w:asciiTheme="minorHAnsi" w:eastAsia="Arial" w:hAnsiTheme="minorHAnsi" w:cs="Arial"/>
          <w:bCs/>
          <w:color w:val="000000"/>
          <w:szCs w:val="22"/>
        </w:rPr>
        <w:t>α =</w:t>
      </w:r>
      <w:r w:rsidR="00FB6539" w:rsidRPr="00FB6539">
        <w:rPr>
          <w:rFonts w:asciiTheme="minorHAnsi" w:eastAsia="Arial" w:hAnsiTheme="minorHAnsi" w:cs="Arial"/>
          <w:bCs/>
          <w:color w:val="000000"/>
          <w:szCs w:val="22"/>
        </w:rPr>
        <w:t> 1</w:t>
      </w:r>
      <w:r w:rsidR="00B73C1F">
        <w:rPr>
          <w:rFonts w:asciiTheme="minorHAnsi" w:eastAsia="Arial" w:hAnsiTheme="minorHAnsi" w:cs="Arial"/>
          <w:bCs/>
          <w:color w:val="000000"/>
          <w:szCs w:val="22"/>
        </w:rPr>
        <w:t>,07</w:t>
      </w:r>
    </w:p>
    <w:sectPr w:rsidR="00ED6D27" w:rsidRPr="00C34937" w:rsidSect="00A3704C">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Gothic"/>
    <w:charset w:val="80"/>
    <w:family w:val="roman"/>
    <w:pitch w:val="variable"/>
  </w:font>
  <w:font w:name="Droid Sans">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ABCDEE+Arial Gra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57AC8"/>
    <w:multiLevelType w:val="hybridMultilevel"/>
    <w:tmpl w:val="71B239BC"/>
    <w:lvl w:ilvl="0" w:tplc="14CE63CE">
      <w:start w:val="1"/>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04C"/>
    <w:rsid w:val="000068E3"/>
    <w:rsid w:val="00021A25"/>
    <w:rsid w:val="000F6B4A"/>
    <w:rsid w:val="001A41B5"/>
    <w:rsid w:val="001B293A"/>
    <w:rsid w:val="001F2C85"/>
    <w:rsid w:val="00242E2A"/>
    <w:rsid w:val="002A068F"/>
    <w:rsid w:val="002F1F3C"/>
    <w:rsid w:val="00375CDE"/>
    <w:rsid w:val="00430F07"/>
    <w:rsid w:val="00452AB2"/>
    <w:rsid w:val="004C6663"/>
    <w:rsid w:val="00507EB0"/>
    <w:rsid w:val="006A7720"/>
    <w:rsid w:val="00760E6D"/>
    <w:rsid w:val="00824EC8"/>
    <w:rsid w:val="008918A3"/>
    <w:rsid w:val="00A3704C"/>
    <w:rsid w:val="00A44681"/>
    <w:rsid w:val="00B73C1F"/>
    <w:rsid w:val="00BA53A9"/>
    <w:rsid w:val="00C1031B"/>
    <w:rsid w:val="00C34937"/>
    <w:rsid w:val="00C6153E"/>
    <w:rsid w:val="00D60137"/>
    <w:rsid w:val="00E0320A"/>
    <w:rsid w:val="00E2458F"/>
    <w:rsid w:val="00EA07AB"/>
    <w:rsid w:val="00ED6D27"/>
    <w:rsid w:val="00EE35C9"/>
    <w:rsid w:val="00EF42AD"/>
    <w:rsid w:val="00F7366A"/>
    <w:rsid w:val="00F81BBB"/>
    <w:rsid w:val="00FB6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E8B1"/>
  <w15:docId w15:val="{21F1E19F-AAF8-4D6D-8E6F-CC1AAD8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66A"/>
    <w:pPr>
      <w:widowControl w:val="0"/>
      <w:suppressAutoHyphens/>
      <w:spacing w:after="0" w:line="240" w:lineRule="auto"/>
    </w:pPr>
    <w:rPr>
      <w:rFonts w:ascii="Liberation Serif" w:eastAsia="Droid Sans" w:hAnsi="Liberation Serif"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A3704C"/>
    <w:pPr>
      <w:suppressLineNumbers/>
    </w:pPr>
  </w:style>
  <w:style w:type="table" w:styleId="Grilledutableau">
    <w:name w:val="Table Grid"/>
    <w:basedOn w:val="TableauNormal"/>
    <w:uiPriority w:val="39"/>
    <w:rsid w:val="00A3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6663"/>
    <w:pPr>
      <w:ind w:left="720"/>
      <w:contextualSpacing/>
    </w:pPr>
  </w:style>
  <w:style w:type="paragraph" w:styleId="Textedebulles">
    <w:name w:val="Balloon Text"/>
    <w:basedOn w:val="Normal"/>
    <w:link w:val="TextedebullesCar"/>
    <w:uiPriority w:val="99"/>
    <w:semiHidden/>
    <w:unhideWhenUsed/>
    <w:rsid w:val="00C61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53E"/>
    <w:rPr>
      <w:rFonts w:ascii="Segoe UI" w:eastAsia="Droid Sans"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583">
      <w:bodyDiv w:val="1"/>
      <w:marLeft w:val="0"/>
      <w:marRight w:val="0"/>
      <w:marTop w:val="0"/>
      <w:marBottom w:val="0"/>
      <w:divBdr>
        <w:top w:val="none" w:sz="0" w:space="0" w:color="auto"/>
        <w:left w:val="none" w:sz="0" w:space="0" w:color="auto"/>
        <w:bottom w:val="none" w:sz="0" w:space="0" w:color="auto"/>
        <w:right w:val="none" w:sz="0" w:space="0" w:color="auto"/>
      </w:divBdr>
    </w:div>
    <w:div w:id="807623080">
      <w:bodyDiv w:val="1"/>
      <w:marLeft w:val="0"/>
      <w:marRight w:val="0"/>
      <w:marTop w:val="0"/>
      <w:marBottom w:val="0"/>
      <w:divBdr>
        <w:top w:val="none" w:sz="0" w:space="0" w:color="auto"/>
        <w:left w:val="none" w:sz="0" w:space="0" w:color="auto"/>
        <w:bottom w:val="none" w:sz="0" w:space="0" w:color="auto"/>
        <w:right w:val="none" w:sz="0" w:space="0" w:color="auto"/>
      </w:divBdr>
    </w:div>
    <w:div w:id="14623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5</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SANY</dc:creator>
  <cp:keywords/>
  <dc:description/>
  <cp:lastModifiedBy>Sylvie GOUINGUENE</cp:lastModifiedBy>
  <cp:revision>16</cp:revision>
  <cp:lastPrinted>2018-12-27T10:41:00Z</cp:lastPrinted>
  <dcterms:created xsi:type="dcterms:W3CDTF">2017-07-07T10:27:00Z</dcterms:created>
  <dcterms:modified xsi:type="dcterms:W3CDTF">2018-12-27T10:48:00Z</dcterms:modified>
</cp:coreProperties>
</file>